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1C644" w14:textId="77777777" w:rsidR="00316414" w:rsidRDefault="00316414" w:rsidP="00316414">
      <w:pPr>
        <w:tabs>
          <w:tab w:val="left" w:pos="3261"/>
        </w:tabs>
        <w:spacing w:after="0"/>
        <w:rPr>
          <w:rFonts w:cs="Tahoma"/>
          <w:b/>
          <w:bCs/>
        </w:rPr>
      </w:pPr>
    </w:p>
    <w:p w14:paraId="593FC1EB" w14:textId="77777777" w:rsidR="00316414" w:rsidRPr="00316414" w:rsidRDefault="00865E20" w:rsidP="00316414">
      <w:pPr>
        <w:tabs>
          <w:tab w:val="left" w:pos="3261"/>
        </w:tabs>
        <w:spacing w:after="0"/>
        <w:rPr>
          <w:rFonts w:cs="Tahoma"/>
          <w:b/>
          <w:bCs/>
        </w:rPr>
      </w:pPr>
      <w:r>
        <w:rPr>
          <w:rFonts w:cs="Tahoma"/>
          <w:b/>
          <w:bCs/>
        </w:rPr>
        <w:t xml:space="preserve">Vrchní státní zastupitelství v Praze </w:t>
      </w:r>
      <w:r w:rsidR="00316414" w:rsidRPr="00316414">
        <w:rPr>
          <w:rFonts w:cs="Tahoma"/>
          <w:b/>
          <w:bCs/>
        </w:rPr>
        <w:t xml:space="preserve"> </w:t>
      </w:r>
    </w:p>
    <w:p w14:paraId="7DFF3C72" w14:textId="77777777" w:rsidR="00316414" w:rsidRPr="00316414" w:rsidRDefault="00316414" w:rsidP="00316414">
      <w:pPr>
        <w:spacing w:after="0" w:line="259" w:lineRule="auto"/>
        <w:rPr>
          <w:rFonts w:cs="Tahoma"/>
        </w:rPr>
      </w:pPr>
      <w:r w:rsidRPr="00316414">
        <w:rPr>
          <w:rFonts w:cs="Tahoma"/>
        </w:rPr>
        <w:t xml:space="preserve">Náměstí </w:t>
      </w:r>
      <w:r w:rsidR="00865E20">
        <w:rPr>
          <w:rFonts w:cs="Tahoma"/>
        </w:rPr>
        <w:t>hrdinů 1300</w:t>
      </w:r>
    </w:p>
    <w:p w14:paraId="43BED22E" w14:textId="77777777" w:rsidR="00316414" w:rsidRPr="00316414" w:rsidRDefault="00316414" w:rsidP="00316414">
      <w:pPr>
        <w:spacing w:after="0" w:line="259" w:lineRule="auto"/>
        <w:rPr>
          <w:rFonts w:cs="Tahoma"/>
          <w:u w:val="single"/>
        </w:rPr>
      </w:pPr>
      <w:r w:rsidRPr="00316414">
        <w:rPr>
          <w:rFonts w:cs="Tahoma"/>
          <w:u w:val="single"/>
        </w:rPr>
        <w:t>1</w:t>
      </w:r>
      <w:r w:rsidR="00865E20">
        <w:rPr>
          <w:rFonts w:cs="Tahoma"/>
          <w:u w:val="single"/>
        </w:rPr>
        <w:t>40</w:t>
      </w:r>
      <w:r w:rsidRPr="00316414">
        <w:rPr>
          <w:rFonts w:cs="Tahoma"/>
          <w:u w:val="single"/>
        </w:rPr>
        <w:t xml:space="preserve">0 00 Praha </w:t>
      </w:r>
      <w:r w:rsidR="00865E20">
        <w:rPr>
          <w:rFonts w:cs="Tahoma"/>
          <w:u w:val="single"/>
        </w:rPr>
        <w:t>4 - Nusle</w:t>
      </w:r>
    </w:p>
    <w:p w14:paraId="0A9216CA" w14:textId="77777777" w:rsidR="00316414" w:rsidRPr="00316414" w:rsidRDefault="00316414" w:rsidP="00316414">
      <w:pPr>
        <w:spacing w:after="0" w:line="259" w:lineRule="auto"/>
        <w:rPr>
          <w:rFonts w:cs="Tahoma"/>
          <w:b/>
          <w:bCs/>
        </w:rPr>
      </w:pPr>
    </w:p>
    <w:p w14:paraId="21810253" w14:textId="77777777" w:rsidR="00316414" w:rsidRPr="00316414" w:rsidRDefault="00316414" w:rsidP="00316414">
      <w:pPr>
        <w:spacing w:after="160" w:line="259" w:lineRule="auto"/>
        <w:rPr>
          <w:rFonts w:cs="Tahoma"/>
          <w:i/>
        </w:rPr>
      </w:pPr>
    </w:p>
    <w:p w14:paraId="6D42F3CE" w14:textId="77777777" w:rsidR="00316414" w:rsidRPr="00316414" w:rsidRDefault="00316414" w:rsidP="00316414">
      <w:pPr>
        <w:spacing w:after="160" w:line="259" w:lineRule="auto"/>
        <w:ind w:left="2124" w:firstLine="1416"/>
        <w:rPr>
          <w:rFonts w:cs="Tahoma"/>
        </w:rPr>
      </w:pPr>
      <w:r w:rsidRPr="00316414">
        <w:rPr>
          <w:rFonts w:cs="Tahoma"/>
        </w:rPr>
        <w:t xml:space="preserve">      </w:t>
      </w:r>
      <w:r w:rsidRPr="00316414">
        <w:rPr>
          <w:rFonts w:cs="Tahoma"/>
        </w:rPr>
        <w:tab/>
      </w:r>
      <w:r w:rsidRPr="00316414">
        <w:rPr>
          <w:rFonts w:cs="Tahoma"/>
        </w:rPr>
        <w:tab/>
        <w:t xml:space="preserve">Praha, dne </w:t>
      </w:r>
      <w:r w:rsidR="00A67A57" w:rsidRPr="00A67A57">
        <w:rPr>
          <w:rFonts w:cs="Tahoma"/>
          <w:highlight w:val="cyan"/>
        </w:rPr>
        <w:t>________________</w:t>
      </w:r>
    </w:p>
    <w:p w14:paraId="3C9014E1" w14:textId="77777777" w:rsidR="00316414" w:rsidRPr="00316414" w:rsidRDefault="00316414" w:rsidP="00316414">
      <w:pPr>
        <w:spacing w:after="160" w:line="259" w:lineRule="auto"/>
        <w:ind w:left="2124" w:firstLine="1416"/>
        <w:rPr>
          <w:rFonts w:cs="Tahoma"/>
          <w:b/>
          <w:bCs/>
        </w:rPr>
      </w:pPr>
      <w:r w:rsidRPr="00316414">
        <w:rPr>
          <w:rFonts w:cs="Tahoma"/>
        </w:rPr>
        <w:tab/>
      </w:r>
      <w:r w:rsidRPr="00316414">
        <w:rPr>
          <w:rFonts w:cs="Tahoma"/>
        </w:rPr>
        <w:tab/>
      </w:r>
      <w:r w:rsidRPr="00316414">
        <w:rPr>
          <w:rFonts w:cs="Tahoma"/>
          <w:b/>
          <w:bCs/>
        </w:rPr>
        <w:t xml:space="preserve">Datovou schránkou       </w:t>
      </w:r>
    </w:p>
    <w:p w14:paraId="7E7DDD11" w14:textId="77777777" w:rsidR="00316414" w:rsidRPr="00316414" w:rsidRDefault="00316414" w:rsidP="00316414">
      <w:pPr>
        <w:spacing w:after="160" w:line="259" w:lineRule="auto"/>
        <w:jc w:val="both"/>
        <w:rPr>
          <w:rFonts w:eastAsia="Times New Roman" w:cs="Tahoma"/>
          <w:color w:val="444444"/>
        </w:rPr>
      </w:pPr>
    </w:p>
    <w:p w14:paraId="3D96D381" w14:textId="77777777" w:rsidR="00316414" w:rsidRPr="00316414" w:rsidRDefault="00316414" w:rsidP="00316414">
      <w:pPr>
        <w:spacing w:after="160" w:line="259" w:lineRule="auto"/>
        <w:jc w:val="both"/>
        <w:rPr>
          <w:rFonts w:eastAsia="Times New Roman" w:cs="Tahoma"/>
          <w:color w:val="44444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0"/>
        <w:gridCol w:w="6984"/>
      </w:tblGrid>
      <w:tr w:rsidR="00316414" w:rsidRPr="00316414" w14:paraId="55DF2D35" w14:textId="77777777" w:rsidTr="008D7AE2">
        <w:trPr>
          <w:trHeight w:val="293"/>
        </w:trPr>
        <w:tc>
          <w:tcPr>
            <w:tcW w:w="2080" w:type="dxa"/>
            <w:hideMark/>
          </w:tcPr>
          <w:p w14:paraId="5E3CDF4B" w14:textId="77777777" w:rsidR="00316414" w:rsidRPr="00316414" w:rsidRDefault="00316414" w:rsidP="00316414">
            <w:pPr>
              <w:spacing w:line="259" w:lineRule="auto"/>
              <w:rPr>
                <w:rFonts w:cs="Tahoma"/>
                <w:b/>
              </w:rPr>
            </w:pPr>
            <w:r w:rsidRPr="00316414">
              <w:rPr>
                <w:rFonts w:cs="Tahoma"/>
                <w:b/>
              </w:rPr>
              <w:t>Oznamovatel</w:t>
            </w:r>
            <w:r w:rsidRPr="00316414">
              <w:rPr>
                <w:rFonts w:cs="Tahoma"/>
                <w:b/>
                <w:smallCaps/>
              </w:rPr>
              <w:t>:</w:t>
            </w:r>
          </w:p>
        </w:tc>
        <w:tc>
          <w:tcPr>
            <w:tcW w:w="6984" w:type="dxa"/>
          </w:tcPr>
          <w:p w14:paraId="604F1B82" w14:textId="77777777" w:rsidR="00316414" w:rsidRPr="00316414" w:rsidRDefault="00316414" w:rsidP="00316414">
            <w:pPr>
              <w:spacing w:line="259" w:lineRule="auto"/>
              <w:rPr>
                <w:rFonts w:cs="Tahoma"/>
                <w:b/>
              </w:rPr>
            </w:pPr>
          </w:p>
        </w:tc>
      </w:tr>
      <w:tr w:rsidR="00316414" w:rsidRPr="00316414" w14:paraId="2B8575B9" w14:textId="77777777" w:rsidTr="008D7AE2">
        <w:trPr>
          <w:trHeight w:val="1159"/>
        </w:trPr>
        <w:tc>
          <w:tcPr>
            <w:tcW w:w="2080" w:type="dxa"/>
          </w:tcPr>
          <w:p w14:paraId="6DD62211" w14:textId="77777777" w:rsidR="00316414" w:rsidRPr="00316414" w:rsidRDefault="00316414" w:rsidP="00316414">
            <w:pPr>
              <w:spacing w:line="259" w:lineRule="auto"/>
              <w:jc w:val="both"/>
              <w:rPr>
                <w:rFonts w:cs="Tahoma"/>
              </w:rPr>
            </w:pPr>
          </w:p>
        </w:tc>
        <w:tc>
          <w:tcPr>
            <w:tcW w:w="6984" w:type="dxa"/>
          </w:tcPr>
          <w:p w14:paraId="4AE5E1E2" w14:textId="77777777" w:rsidR="00A67A57" w:rsidRDefault="00A67A57" w:rsidP="00316414">
            <w:pPr>
              <w:spacing w:line="259" w:lineRule="auto"/>
              <w:rPr>
                <w:rFonts w:cs="Tahoma"/>
                <w:bCs/>
              </w:rPr>
            </w:pPr>
            <w:r w:rsidRPr="00A67A57">
              <w:rPr>
                <w:rFonts w:cs="Tahoma"/>
                <w:bCs/>
                <w:highlight w:val="cyan"/>
              </w:rPr>
              <w:t>_____________________</w:t>
            </w:r>
          </w:p>
          <w:p w14:paraId="701770BE" w14:textId="77777777" w:rsidR="00316414" w:rsidRPr="00316414" w:rsidRDefault="00A67A57" w:rsidP="00316414">
            <w:pPr>
              <w:spacing w:line="259" w:lineRule="auto"/>
              <w:rPr>
                <w:rFonts w:cs="Tahoma"/>
                <w:bCs/>
              </w:rPr>
            </w:pPr>
            <w:proofErr w:type="spellStart"/>
            <w:r>
              <w:rPr>
                <w:rFonts w:cs="Tahoma"/>
                <w:bCs/>
              </w:rPr>
              <w:t>nat</w:t>
            </w:r>
            <w:proofErr w:type="spellEnd"/>
            <w:r>
              <w:rPr>
                <w:rFonts w:cs="Tahoma"/>
                <w:bCs/>
              </w:rPr>
              <w:t xml:space="preserve">. nar. </w:t>
            </w:r>
            <w:r w:rsidRPr="00A67A57">
              <w:rPr>
                <w:rFonts w:cs="Tahoma"/>
                <w:bCs/>
                <w:highlight w:val="cyan"/>
              </w:rPr>
              <w:t>________________</w:t>
            </w:r>
          </w:p>
          <w:p w14:paraId="4E4D1A77" w14:textId="77777777" w:rsidR="00316414" w:rsidRPr="00316414" w:rsidRDefault="00A67A57" w:rsidP="00316414">
            <w:pPr>
              <w:spacing w:line="259" w:lineRule="auto"/>
              <w:rPr>
                <w:rFonts w:cs="Tahoma"/>
                <w:bCs/>
              </w:rPr>
            </w:pPr>
            <w:r>
              <w:rPr>
                <w:rFonts w:cs="Tahoma"/>
                <w:bCs/>
              </w:rPr>
              <w:t xml:space="preserve">bytem </w:t>
            </w:r>
            <w:r w:rsidRPr="00A67A57">
              <w:rPr>
                <w:rFonts w:cs="Tahoma"/>
                <w:bCs/>
                <w:highlight w:val="cyan"/>
              </w:rPr>
              <w:t>__________________</w:t>
            </w:r>
          </w:p>
          <w:p w14:paraId="7EFD215E" w14:textId="77777777" w:rsidR="00316414" w:rsidRPr="00316414" w:rsidRDefault="00316414" w:rsidP="00316414">
            <w:pPr>
              <w:spacing w:line="259" w:lineRule="auto"/>
              <w:rPr>
                <w:rFonts w:cs="Tahoma"/>
                <w:bCs/>
              </w:rPr>
            </w:pPr>
          </w:p>
          <w:p w14:paraId="4FF600B1" w14:textId="77777777" w:rsidR="00316414" w:rsidRPr="00316414" w:rsidRDefault="00316414" w:rsidP="00316414">
            <w:pPr>
              <w:spacing w:line="259" w:lineRule="auto"/>
              <w:rPr>
                <w:rFonts w:cs="Tahoma"/>
                <w:bCs/>
              </w:rPr>
            </w:pPr>
            <w:r w:rsidRPr="00316414">
              <w:rPr>
                <w:rFonts w:cs="Tahoma"/>
                <w:bCs/>
              </w:rPr>
              <w:t>(dále „</w:t>
            </w:r>
            <w:r w:rsidR="00A9044C">
              <w:rPr>
                <w:rFonts w:cs="Tahoma"/>
                <w:bCs/>
              </w:rPr>
              <w:t>O</w:t>
            </w:r>
            <w:r w:rsidRPr="00316414">
              <w:rPr>
                <w:rFonts w:cs="Tahoma"/>
                <w:bCs/>
              </w:rPr>
              <w:t>znamovatel“)</w:t>
            </w:r>
          </w:p>
        </w:tc>
      </w:tr>
    </w:tbl>
    <w:p w14:paraId="3A01F181" w14:textId="77777777" w:rsidR="00316414" w:rsidRPr="00316414" w:rsidRDefault="00316414" w:rsidP="00316414">
      <w:pPr>
        <w:rPr>
          <w:rFonts w:eastAsia="Calibri" w:cs="Tahoma"/>
          <w:b/>
          <w:color w:val="1E1E1E"/>
          <w:spacing w:val="120"/>
          <w:lang w:eastAsia="cs-CZ"/>
        </w:rPr>
      </w:pPr>
    </w:p>
    <w:p w14:paraId="779ABDA6" w14:textId="77777777" w:rsidR="00316414" w:rsidRPr="00316414" w:rsidRDefault="00316414" w:rsidP="00316414">
      <w:pPr>
        <w:rPr>
          <w:rFonts w:eastAsia="Calibri" w:cs="Tahoma"/>
          <w:b/>
          <w:color w:val="1E1E1E"/>
          <w:spacing w:val="120"/>
          <w:lang w:eastAsia="cs-CZ"/>
        </w:rPr>
      </w:pPr>
    </w:p>
    <w:p w14:paraId="066A76B4" w14:textId="77777777" w:rsidR="00316414" w:rsidRPr="00316414" w:rsidRDefault="00316414" w:rsidP="00316414">
      <w:pPr>
        <w:rPr>
          <w:rFonts w:eastAsia="Calibri" w:cs="Tahoma"/>
          <w:b/>
          <w:color w:val="1E1E1E"/>
          <w:spacing w:val="120"/>
          <w:lang w:eastAsia="cs-CZ"/>
        </w:rPr>
      </w:pPr>
    </w:p>
    <w:p w14:paraId="3D58925C" w14:textId="77777777" w:rsidR="00316414" w:rsidRPr="00316414" w:rsidRDefault="00316414" w:rsidP="00316414">
      <w:pPr>
        <w:rPr>
          <w:rFonts w:eastAsia="Calibri" w:cs="Tahoma"/>
          <w:b/>
          <w:color w:val="1E1E1E"/>
          <w:spacing w:val="120"/>
          <w:lang w:eastAsia="cs-CZ"/>
        </w:rPr>
      </w:pPr>
    </w:p>
    <w:p w14:paraId="09F3AB64" w14:textId="77777777" w:rsidR="00316414" w:rsidRPr="00316414" w:rsidRDefault="00316414" w:rsidP="00316414">
      <w:pPr>
        <w:rPr>
          <w:rFonts w:eastAsia="Calibri" w:cs="Tahoma"/>
          <w:b/>
          <w:color w:val="1E1E1E"/>
          <w:spacing w:val="120"/>
          <w:lang w:eastAsia="cs-CZ"/>
        </w:rPr>
      </w:pPr>
    </w:p>
    <w:p w14:paraId="6402D83E" w14:textId="77777777" w:rsidR="00316414" w:rsidRPr="00316414" w:rsidRDefault="00316414" w:rsidP="00316414">
      <w:pPr>
        <w:spacing w:after="160" w:line="259" w:lineRule="auto"/>
        <w:ind w:left="720"/>
        <w:contextualSpacing/>
        <w:jc w:val="center"/>
        <w:rPr>
          <w:rFonts w:cs="Tahoma"/>
          <w:i/>
          <w:sz w:val="36"/>
          <w:szCs w:val="36"/>
          <w:u w:val="single"/>
        </w:rPr>
      </w:pPr>
      <w:r w:rsidRPr="00316414">
        <w:rPr>
          <w:rFonts w:cs="Tahoma"/>
          <w:b/>
          <w:bCs/>
          <w:iCs/>
          <w:sz w:val="36"/>
          <w:szCs w:val="36"/>
          <w:u w:val="single"/>
        </w:rPr>
        <w:t>Trestní oznámení</w:t>
      </w:r>
    </w:p>
    <w:p w14:paraId="5C2EB636" w14:textId="77777777" w:rsidR="00316414" w:rsidRPr="00316414" w:rsidRDefault="00316414" w:rsidP="00316414">
      <w:pPr>
        <w:spacing w:after="160" w:line="259" w:lineRule="auto"/>
        <w:rPr>
          <w:rFonts w:cs="Tahoma"/>
          <w:i/>
        </w:rPr>
      </w:pPr>
    </w:p>
    <w:p w14:paraId="071120D8" w14:textId="77777777" w:rsidR="00316414" w:rsidRPr="00316414" w:rsidRDefault="00316414" w:rsidP="00316414">
      <w:pPr>
        <w:spacing w:after="160" w:line="259" w:lineRule="auto"/>
        <w:rPr>
          <w:rFonts w:cs="Tahoma"/>
          <w:i/>
        </w:rPr>
      </w:pPr>
    </w:p>
    <w:p w14:paraId="3725AF2C" w14:textId="77777777" w:rsidR="00316414" w:rsidRPr="00316414" w:rsidRDefault="00316414" w:rsidP="00316414">
      <w:pPr>
        <w:spacing w:after="160" w:line="259" w:lineRule="auto"/>
        <w:rPr>
          <w:rFonts w:cs="Tahoma"/>
          <w:i/>
        </w:rPr>
      </w:pPr>
    </w:p>
    <w:p w14:paraId="3BBE075F" w14:textId="77777777" w:rsidR="00316414" w:rsidRDefault="00316414" w:rsidP="00316414">
      <w:pPr>
        <w:spacing w:after="160" w:line="259" w:lineRule="auto"/>
        <w:rPr>
          <w:rFonts w:cs="Tahoma"/>
          <w:i/>
        </w:rPr>
      </w:pPr>
    </w:p>
    <w:p w14:paraId="042D9FEE" w14:textId="77777777" w:rsidR="00A67A57" w:rsidRDefault="00A67A57" w:rsidP="00316414">
      <w:pPr>
        <w:spacing w:after="160" w:line="259" w:lineRule="auto"/>
        <w:rPr>
          <w:rFonts w:cs="Tahoma"/>
          <w:i/>
        </w:rPr>
      </w:pPr>
    </w:p>
    <w:p w14:paraId="655D2DD3" w14:textId="77777777" w:rsidR="00A67A57" w:rsidRDefault="00A67A57" w:rsidP="00316414">
      <w:pPr>
        <w:spacing w:after="160" w:line="259" w:lineRule="auto"/>
        <w:rPr>
          <w:rFonts w:cs="Tahoma"/>
          <w:i/>
        </w:rPr>
      </w:pPr>
    </w:p>
    <w:p w14:paraId="42B3D29E" w14:textId="77777777" w:rsidR="00A67A57" w:rsidRDefault="00A67A57" w:rsidP="00316414">
      <w:pPr>
        <w:spacing w:after="160" w:line="259" w:lineRule="auto"/>
        <w:rPr>
          <w:rFonts w:cs="Tahoma"/>
          <w:i/>
        </w:rPr>
      </w:pPr>
    </w:p>
    <w:p w14:paraId="07A3BE82" w14:textId="77777777" w:rsidR="00A67A57" w:rsidRDefault="00A67A57" w:rsidP="00316414">
      <w:pPr>
        <w:spacing w:after="160" w:line="259" w:lineRule="auto"/>
        <w:rPr>
          <w:rFonts w:cs="Tahoma"/>
          <w:i/>
        </w:rPr>
      </w:pPr>
    </w:p>
    <w:p w14:paraId="2FD0432A" w14:textId="77777777" w:rsidR="00A67A57" w:rsidRPr="00316414" w:rsidRDefault="00A67A57" w:rsidP="00316414">
      <w:pPr>
        <w:spacing w:after="160" w:line="259" w:lineRule="auto"/>
        <w:rPr>
          <w:rFonts w:cs="Tahoma"/>
          <w:i/>
        </w:rPr>
      </w:pPr>
    </w:p>
    <w:p w14:paraId="63AD761A" w14:textId="77777777" w:rsidR="00316414" w:rsidRPr="00316414" w:rsidRDefault="00316414" w:rsidP="00316414">
      <w:pPr>
        <w:spacing w:after="160" w:line="259" w:lineRule="auto"/>
        <w:rPr>
          <w:rFonts w:cs="Tahoma"/>
          <w:i/>
        </w:rPr>
      </w:pPr>
    </w:p>
    <w:p w14:paraId="1098A71A" w14:textId="77777777" w:rsidR="00316414" w:rsidRPr="00316414" w:rsidRDefault="00316414" w:rsidP="00316414">
      <w:pPr>
        <w:spacing w:after="160" w:line="259" w:lineRule="auto"/>
        <w:rPr>
          <w:rFonts w:cs="Tahoma"/>
          <w:i/>
        </w:rPr>
      </w:pPr>
    </w:p>
    <w:p w14:paraId="4B4F5A40" w14:textId="77777777" w:rsidR="00316414" w:rsidRPr="00316414" w:rsidRDefault="00316414" w:rsidP="00316414">
      <w:pPr>
        <w:numPr>
          <w:ilvl w:val="0"/>
          <w:numId w:val="3"/>
        </w:numPr>
        <w:spacing w:after="160" w:line="259" w:lineRule="auto"/>
        <w:jc w:val="center"/>
        <w:rPr>
          <w:rFonts w:cs="Tahoma"/>
          <w:bCs/>
        </w:rPr>
      </w:pPr>
    </w:p>
    <w:p w14:paraId="3E461FDE" w14:textId="77777777" w:rsidR="00316414" w:rsidRPr="00316414" w:rsidRDefault="00316414" w:rsidP="009F5B87">
      <w:pPr>
        <w:jc w:val="both"/>
        <w:rPr>
          <w:rFonts w:cs="Tahoma"/>
          <w:bCs/>
        </w:rPr>
      </w:pPr>
      <w:r w:rsidRPr="00316414">
        <w:rPr>
          <w:rFonts w:cs="Tahoma"/>
          <w:bCs/>
        </w:rPr>
        <w:t xml:space="preserve">Oznamovatel podává tímto u </w:t>
      </w:r>
      <w:r w:rsidR="00865E20">
        <w:rPr>
          <w:rFonts w:cs="Tahoma"/>
          <w:bCs/>
        </w:rPr>
        <w:t xml:space="preserve">Vrchního státního </w:t>
      </w:r>
      <w:r w:rsidRPr="00316414">
        <w:rPr>
          <w:rFonts w:cs="Tahoma"/>
          <w:bCs/>
        </w:rPr>
        <w:t xml:space="preserve">zastupitelství v Praze trestní oznámení na </w:t>
      </w:r>
      <w:r w:rsidR="00865E20">
        <w:rPr>
          <w:rFonts w:cs="Tahoma"/>
          <w:bCs/>
        </w:rPr>
        <w:t xml:space="preserve">neznámé pachatele </w:t>
      </w:r>
      <w:r w:rsidRPr="00316414">
        <w:rPr>
          <w:rFonts w:cs="Tahoma"/>
          <w:bCs/>
        </w:rPr>
        <w:t xml:space="preserve">pro důvodné podezření, že se </w:t>
      </w:r>
      <w:r w:rsidR="00865E20">
        <w:rPr>
          <w:rFonts w:cs="Tahoma"/>
          <w:bCs/>
        </w:rPr>
        <w:t xml:space="preserve">tito pachatelé mohli </w:t>
      </w:r>
      <w:r w:rsidRPr="00316414">
        <w:rPr>
          <w:rFonts w:cs="Tahoma"/>
          <w:bCs/>
        </w:rPr>
        <w:t>dopusti</w:t>
      </w:r>
      <w:r w:rsidR="00865E20">
        <w:rPr>
          <w:rFonts w:cs="Tahoma"/>
          <w:bCs/>
        </w:rPr>
        <w:t>t</w:t>
      </w:r>
      <w:r w:rsidRPr="00316414">
        <w:rPr>
          <w:rFonts w:cs="Tahoma"/>
          <w:bCs/>
        </w:rPr>
        <w:t xml:space="preserve"> trestné činnosti spočívající v</w:t>
      </w:r>
      <w:r w:rsidR="00A31E72">
        <w:rPr>
          <w:rFonts w:cs="Tahoma"/>
          <w:bCs/>
        </w:rPr>
        <w:t xml:space="preserve"> přípravě </w:t>
      </w:r>
      <w:r w:rsidRPr="00316414">
        <w:rPr>
          <w:rFonts w:cs="Tahoma"/>
          <w:bCs/>
        </w:rPr>
        <w:t>trestné</w:t>
      </w:r>
      <w:r w:rsidR="00A31E72">
        <w:rPr>
          <w:rFonts w:cs="Tahoma"/>
          <w:bCs/>
        </w:rPr>
        <w:t>ho</w:t>
      </w:r>
      <w:r w:rsidRPr="00316414">
        <w:rPr>
          <w:rFonts w:cs="Tahoma"/>
          <w:bCs/>
        </w:rPr>
        <w:t xml:space="preserve"> činu </w:t>
      </w:r>
      <w:bookmarkStart w:id="0" w:name="_Hlk110169467"/>
      <w:r w:rsidR="007D00EA">
        <w:rPr>
          <w:rFonts w:cs="Tahoma"/>
          <w:b/>
          <w:u w:val="single"/>
        </w:rPr>
        <w:t xml:space="preserve">teroristického útoku </w:t>
      </w:r>
      <w:r w:rsidRPr="00D3244E">
        <w:rPr>
          <w:rFonts w:cs="Tahoma"/>
          <w:b/>
          <w:u w:val="single"/>
        </w:rPr>
        <w:t xml:space="preserve">dle § </w:t>
      </w:r>
      <w:r w:rsidR="00865E20" w:rsidRPr="00D3244E">
        <w:rPr>
          <w:rFonts w:cs="Tahoma"/>
          <w:b/>
          <w:u w:val="single"/>
        </w:rPr>
        <w:t>31</w:t>
      </w:r>
      <w:r w:rsidR="007D00EA">
        <w:rPr>
          <w:rFonts w:cs="Tahoma"/>
          <w:b/>
          <w:u w:val="single"/>
        </w:rPr>
        <w:t>1</w:t>
      </w:r>
      <w:r w:rsidRPr="00D3244E">
        <w:rPr>
          <w:rFonts w:cs="Tahoma"/>
          <w:b/>
          <w:u w:val="single"/>
        </w:rPr>
        <w:t xml:space="preserve"> odst. 1</w:t>
      </w:r>
      <w:r w:rsidR="007D00EA">
        <w:rPr>
          <w:rFonts w:cs="Tahoma"/>
          <w:b/>
          <w:u w:val="single"/>
        </w:rPr>
        <w:t xml:space="preserve">, </w:t>
      </w:r>
      <w:r w:rsidRPr="00D3244E">
        <w:rPr>
          <w:rFonts w:cs="Tahoma"/>
          <w:b/>
          <w:u w:val="single"/>
        </w:rPr>
        <w:t>3</w:t>
      </w:r>
      <w:r w:rsidR="007D00EA">
        <w:rPr>
          <w:rFonts w:cs="Tahoma"/>
          <w:b/>
          <w:u w:val="single"/>
        </w:rPr>
        <w:t xml:space="preserve"> a 4 </w:t>
      </w:r>
      <w:r w:rsidR="00C701CB">
        <w:rPr>
          <w:rFonts w:cs="Tahoma"/>
          <w:b/>
          <w:u w:val="single"/>
        </w:rPr>
        <w:t xml:space="preserve">a úvěrového podvodu </w:t>
      </w:r>
      <w:r w:rsidR="009F5560">
        <w:rPr>
          <w:rFonts w:cs="Tahoma"/>
          <w:b/>
          <w:u w:val="single"/>
        </w:rPr>
        <w:t xml:space="preserve">dle § 211 odst. 1) a 6) </w:t>
      </w:r>
      <w:r w:rsidRPr="00D3244E">
        <w:rPr>
          <w:rFonts w:cs="Tahoma"/>
          <w:b/>
          <w:u w:val="single"/>
        </w:rPr>
        <w:t>zákona č. 40/2009 Sb., trestního zákoníku</w:t>
      </w:r>
      <w:r w:rsidRPr="00316414">
        <w:rPr>
          <w:rFonts w:cs="Tahoma"/>
          <w:bCs/>
        </w:rPr>
        <w:t>,</w:t>
      </w:r>
      <w:bookmarkEnd w:id="0"/>
      <w:r w:rsidRPr="00316414">
        <w:rPr>
          <w:rFonts w:cs="Tahoma"/>
          <w:bCs/>
        </w:rPr>
        <w:t xml:space="preserve"> ve znění pozdějších předpisů (dále </w:t>
      </w:r>
      <w:r w:rsidR="007512B4">
        <w:rPr>
          <w:rFonts w:cs="Tahoma"/>
          <w:bCs/>
        </w:rPr>
        <w:t xml:space="preserve">též </w:t>
      </w:r>
      <w:r w:rsidRPr="00316414">
        <w:rPr>
          <w:rFonts w:cs="Tahoma"/>
          <w:bCs/>
        </w:rPr>
        <w:t>„</w:t>
      </w:r>
      <w:r w:rsidRPr="00316414">
        <w:rPr>
          <w:rFonts w:cs="Tahoma"/>
          <w:b/>
        </w:rPr>
        <w:t>TZ</w:t>
      </w:r>
      <w:r w:rsidRPr="00316414">
        <w:rPr>
          <w:rFonts w:cs="Tahoma"/>
          <w:bCs/>
        </w:rPr>
        <w:t>“)</w:t>
      </w:r>
      <w:r w:rsidR="005F1D7F">
        <w:rPr>
          <w:rFonts w:cs="Tahoma"/>
          <w:bCs/>
        </w:rPr>
        <w:t>,</w:t>
      </w:r>
      <w:r w:rsidRPr="00316414">
        <w:rPr>
          <w:rFonts w:cs="Tahoma"/>
          <w:bCs/>
        </w:rPr>
        <w:t xml:space="preserve"> a to v souvislosti s</w:t>
      </w:r>
      <w:r w:rsidR="00EC44BA">
        <w:rPr>
          <w:rFonts w:cs="Tahoma"/>
          <w:bCs/>
        </w:rPr>
        <w:t> jednáním osob účastných na rozhodování společnosti ČEZ, a.s</w:t>
      </w:r>
      <w:r w:rsidR="005F1D7F">
        <w:rPr>
          <w:rFonts w:cs="Tahoma"/>
          <w:bCs/>
        </w:rPr>
        <w:t>.</w:t>
      </w:r>
      <w:r w:rsidR="00A31E72">
        <w:rPr>
          <w:rFonts w:cs="Tahoma"/>
          <w:bCs/>
        </w:rPr>
        <w:t xml:space="preserve"> (dále jen </w:t>
      </w:r>
      <w:r w:rsidR="000D1A4D">
        <w:rPr>
          <w:rFonts w:cs="Tahoma"/>
          <w:bCs/>
        </w:rPr>
        <w:t xml:space="preserve">„společnost </w:t>
      </w:r>
      <w:r w:rsidR="00A31E72">
        <w:rPr>
          <w:rFonts w:cs="Tahoma"/>
          <w:bCs/>
        </w:rPr>
        <w:t>ČEZ</w:t>
      </w:r>
      <w:r w:rsidR="000D1A4D">
        <w:rPr>
          <w:rFonts w:cs="Tahoma"/>
          <w:bCs/>
        </w:rPr>
        <w:t>“</w:t>
      </w:r>
      <w:r w:rsidR="00A31E72">
        <w:rPr>
          <w:rFonts w:cs="Tahoma"/>
          <w:bCs/>
        </w:rPr>
        <w:t>)</w:t>
      </w:r>
      <w:r w:rsidR="00EC44BA">
        <w:rPr>
          <w:rFonts w:cs="Tahoma"/>
          <w:bCs/>
        </w:rPr>
        <w:t xml:space="preserve">, včetně </w:t>
      </w:r>
      <w:r w:rsidR="005F1DF5">
        <w:rPr>
          <w:rFonts w:cs="Tahoma"/>
          <w:bCs/>
        </w:rPr>
        <w:t xml:space="preserve">osob účastných na přípravě a </w:t>
      </w:r>
      <w:r w:rsidR="00865E20">
        <w:rPr>
          <w:rFonts w:cs="Tahoma"/>
          <w:bCs/>
        </w:rPr>
        <w:t xml:space="preserve">uzavření </w:t>
      </w:r>
      <w:r w:rsidR="00D3244E">
        <w:rPr>
          <w:rFonts w:cs="Tahoma"/>
          <w:bCs/>
        </w:rPr>
        <w:t>smlouvy o úvěru ze dne 8. července 2022, na základě které se Česká republika zavázala poskytnou</w:t>
      </w:r>
      <w:r w:rsidR="005F1D7F">
        <w:rPr>
          <w:rFonts w:cs="Tahoma"/>
          <w:bCs/>
        </w:rPr>
        <w:t>t</w:t>
      </w:r>
      <w:r w:rsidR="00D3244E">
        <w:rPr>
          <w:rFonts w:cs="Tahoma"/>
          <w:bCs/>
        </w:rPr>
        <w:t xml:space="preserve"> společnosti ČEZ celkem tři úvěry v celkové výši 3 miliardy EUR</w:t>
      </w:r>
      <w:r w:rsidR="009F5B87">
        <w:rPr>
          <w:rFonts w:cs="Tahoma"/>
          <w:bCs/>
        </w:rPr>
        <w:t>.</w:t>
      </w:r>
      <w:r w:rsidRPr="00316414">
        <w:rPr>
          <w:rFonts w:cs="Tahoma"/>
          <w:bCs/>
        </w:rPr>
        <w:t xml:space="preserve">   </w:t>
      </w:r>
    </w:p>
    <w:p w14:paraId="23416097" w14:textId="77777777" w:rsidR="00316414" w:rsidRPr="00316414" w:rsidRDefault="00316414" w:rsidP="00316414">
      <w:pPr>
        <w:spacing w:after="160" w:line="259" w:lineRule="auto"/>
        <w:jc w:val="both"/>
        <w:rPr>
          <w:rFonts w:cs="Tahoma"/>
          <w:bCs/>
        </w:rPr>
      </w:pPr>
    </w:p>
    <w:p w14:paraId="1E234BA3" w14:textId="77777777" w:rsidR="00316414" w:rsidRPr="00316414" w:rsidRDefault="00316414" w:rsidP="00316414">
      <w:pPr>
        <w:numPr>
          <w:ilvl w:val="0"/>
          <w:numId w:val="3"/>
        </w:numPr>
        <w:spacing w:after="160" w:line="259" w:lineRule="auto"/>
        <w:contextualSpacing/>
        <w:jc w:val="center"/>
        <w:rPr>
          <w:rFonts w:cs="Tahoma"/>
          <w:bCs/>
        </w:rPr>
      </w:pPr>
    </w:p>
    <w:p w14:paraId="4B196A54" w14:textId="77777777" w:rsidR="00853F60" w:rsidRDefault="00316414" w:rsidP="00A37305">
      <w:pPr>
        <w:spacing w:after="160" w:line="259" w:lineRule="auto"/>
        <w:jc w:val="center"/>
        <w:rPr>
          <w:rFonts w:cs="Tahoma"/>
          <w:b/>
          <w:u w:val="single"/>
        </w:rPr>
      </w:pPr>
      <w:r w:rsidRPr="00316414">
        <w:rPr>
          <w:rFonts w:cs="Tahoma"/>
          <w:b/>
          <w:u w:val="single"/>
        </w:rPr>
        <w:t>Skutkový stav:</w:t>
      </w:r>
    </w:p>
    <w:p w14:paraId="2911089C" w14:textId="77777777" w:rsidR="003D5D77" w:rsidRPr="00316414" w:rsidRDefault="003D5D77" w:rsidP="00316414">
      <w:pPr>
        <w:spacing w:after="160" w:line="259" w:lineRule="auto"/>
        <w:rPr>
          <w:rFonts w:cs="Tahoma"/>
          <w:b/>
          <w:u w:val="single"/>
        </w:rPr>
      </w:pPr>
    </w:p>
    <w:p w14:paraId="0D841853" w14:textId="77777777" w:rsidR="000D1A4D" w:rsidRDefault="00EC44BA" w:rsidP="003D5D77">
      <w:pPr>
        <w:pStyle w:val="Odstavecseseznamem"/>
        <w:numPr>
          <w:ilvl w:val="0"/>
          <w:numId w:val="8"/>
        </w:numPr>
        <w:spacing w:after="160" w:line="259" w:lineRule="auto"/>
        <w:jc w:val="both"/>
        <w:rPr>
          <w:rFonts w:cs="Tahoma"/>
          <w:bCs/>
        </w:rPr>
      </w:pPr>
      <w:r w:rsidRPr="003D5D77">
        <w:rPr>
          <w:rFonts w:cs="Tahoma"/>
          <w:bCs/>
        </w:rPr>
        <w:t xml:space="preserve">Stát je </w:t>
      </w:r>
      <w:r w:rsidR="00A31E72" w:rsidRPr="003D5D77">
        <w:rPr>
          <w:rFonts w:cs="Tahoma"/>
          <w:bCs/>
        </w:rPr>
        <w:t xml:space="preserve">z hlediska vlastnické struktury </w:t>
      </w:r>
      <w:r w:rsidR="000D1A4D" w:rsidRPr="003D5D77">
        <w:rPr>
          <w:rFonts w:cs="Tahoma"/>
          <w:bCs/>
        </w:rPr>
        <w:t xml:space="preserve">společnosti </w:t>
      </w:r>
      <w:r w:rsidR="00A31E72" w:rsidRPr="003D5D77">
        <w:rPr>
          <w:rFonts w:cs="Tahoma"/>
          <w:bCs/>
        </w:rPr>
        <w:t xml:space="preserve">ČEZ s podílem 69,78 % jejím </w:t>
      </w:r>
      <w:r w:rsidR="000D1A4D" w:rsidRPr="003D5D77">
        <w:rPr>
          <w:rFonts w:cs="Tahoma"/>
          <w:bCs/>
        </w:rPr>
        <w:t xml:space="preserve">většinovým </w:t>
      </w:r>
      <w:r w:rsidR="00A31E72" w:rsidRPr="003D5D77">
        <w:rPr>
          <w:rFonts w:cs="Tahoma"/>
          <w:bCs/>
        </w:rPr>
        <w:t xml:space="preserve">vlastníkem. Toto </w:t>
      </w:r>
      <w:r w:rsidR="000D1A4D" w:rsidRPr="003D5D77">
        <w:rPr>
          <w:rFonts w:cs="Tahoma"/>
          <w:bCs/>
        </w:rPr>
        <w:t xml:space="preserve">jeho </w:t>
      </w:r>
      <w:r w:rsidR="00A31E72" w:rsidRPr="003D5D77">
        <w:rPr>
          <w:rFonts w:cs="Tahoma"/>
          <w:bCs/>
        </w:rPr>
        <w:t xml:space="preserve">postavení mu z hlediska </w:t>
      </w:r>
      <w:r w:rsidR="005F1D7F">
        <w:rPr>
          <w:rFonts w:cs="Tahoma"/>
          <w:bCs/>
        </w:rPr>
        <w:t xml:space="preserve">aktuálních </w:t>
      </w:r>
      <w:r w:rsidR="00A31E72" w:rsidRPr="003D5D77">
        <w:rPr>
          <w:rFonts w:cs="Tahoma"/>
          <w:bCs/>
        </w:rPr>
        <w:t>právních předpisů plně umožnuje, aby rozhodoval o její</w:t>
      </w:r>
      <w:r w:rsidR="005F1D7F">
        <w:rPr>
          <w:rFonts w:cs="Tahoma"/>
          <w:bCs/>
        </w:rPr>
        <w:t>ch</w:t>
      </w:r>
      <w:r w:rsidR="00A31E72" w:rsidRPr="003D5D77">
        <w:rPr>
          <w:rFonts w:cs="Tahoma"/>
          <w:bCs/>
        </w:rPr>
        <w:t xml:space="preserve"> krátkodobých, střednědobých a dlouhodobých </w:t>
      </w:r>
      <w:r w:rsidR="000D1A4D" w:rsidRPr="003D5D77">
        <w:rPr>
          <w:rFonts w:cs="Tahoma"/>
          <w:bCs/>
        </w:rPr>
        <w:t xml:space="preserve">cílech, ke kterým zcela nepochybně patří všechny </w:t>
      </w:r>
      <w:r w:rsidR="00032574" w:rsidRPr="003D5D77">
        <w:rPr>
          <w:rFonts w:cs="Tahoma"/>
          <w:bCs/>
        </w:rPr>
        <w:t>úkony,</w:t>
      </w:r>
      <w:r w:rsidR="000D1A4D" w:rsidRPr="003D5D77">
        <w:rPr>
          <w:rFonts w:cs="Tahoma"/>
          <w:bCs/>
        </w:rPr>
        <w:t xml:space="preserve"> jež mají vliv na tvorbu cen elektrické energie pro koncové spotřebitele.</w:t>
      </w:r>
    </w:p>
    <w:p w14:paraId="1FA5DEDA" w14:textId="77777777" w:rsidR="00D50B7C" w:rsidRPr="003D5D77" w:rsidRDefault="00D50B7C" w:rsidP="00D50B7C">
      <w:pPr>
        <w:pStyle w:val="Odstavecseseznamem"/>
        <w:spacing w:after="160" w:line="259" w:lineRule="auto"/>
        <w:jc w:val="both"/>
        <w:rPr>
          <w:rFonts w:cs="Tahoma"/>
          <w:bCs/>
        </w:rPr>
      </w:pPr>
    </w:p>
    <w:p w14:paraId="39631B9A" w14:textId="3B90E49C" w:rsidR="00105D6C" w:rsidRDefault="00A9044C" w:rsidP="003D5D77">
      <w:pPr>
        <w:pStyle w:val="Odstavecseseznamem"/>
        <w:numPr>
          <w:ilvl w:val="0"/>
          <w:numId w:val="8"/>
        </w:numPr>
        <w:spacing w:after="160" w:line="259" w:lineRule="auto"/>
        <w:jc w:val="both"/>
        <w:rPr>
          <w:rFonts w:cs="Tahoma"/>
          <w:bCs/>
        </w:rPr>
      </w:pPr>
      <w:r w:rsidRPr="003D5D77">
        <w:rPr>
          <w:rFonts w:cs="Tahoma"/>
          <w:bCs/>
        </w:rPr>
        <w:t xml:space="preserve">Oznamovatel konstatuje, že dle </w:t>
      </w:r>
      <w:r w:rsidR="00A34B3D" w:rsidRPr="003D5D77">
        <w:rPr>
          <w:rFonts w:cs="Tahoma"/>
          <w:bCs/>
        </w:rPr>
        <w:t xml:space="preserve">veškerých </w:t>
      </w:r>
      <w:r w:rsidRPr="003D5D77">
        <w:rPr>
          <w:rFonts w:cs="Tahoma"/>
          <w:bCs/>
        </w:rPr>
        <w:t xml:space="preserve">dostupných dat je výrobní cena jedné </w:t>
      </w:r>
      <w:r w:rsidR="00B02382">
        <w:rPr>
          <w:rFonts w:cs="Tahoma"/>
          <w:bCs/>
        </w:rPr>
        <w:t>kWh</w:t>
      </w:r>
      <w:r w:rsidRPr="003D5D77">
        <w:rPr>
          <w:rFonts w:cs="Tahoma"/>
          <w:bCs/>
        </w:rPr>
        <w:t xml:space="preserve"> elek</w:t>
      </w:r>
      <w:r w:rsidR="00A34B3D" w:rsidRPr="003D5D77">
        <w:rPr>
          <w:rFonts w:cs="Tahoma"/>
          <w:bCs/>
        </w:rPr>
        <w:t xml:space="preserve">trické energie </w:t>
      </w:r>
      <w:r w:rsidR="008C503E" w:rsidRPr="003D5D77">
        <w:rPr>
          <w:rFonts w:cs="Tahoma"/>
          <w:bCs/>
        </w:rPr>
        <w:t xml:space="preserve">v posledních letech v zásadě stabilní a činí </w:t>
      </w:r>
      <w:r w:rsidRPr="003D5D77">
        <w:rPr>
          <w:rFonts w:cs="Tahoma"/>
          <w:bCs/>
        </w:rPr>
        <w:t>maximálně 45 haléřů</w:t>
      </w:r>
      <w:r w:rsidR="008C503E" w:rsidRPr="003D5D77">
        <w:rPr>
          <w:rFonts w:cs="Tahoma"/>
          <w:bCs/>
        </w:rPr>
        <w:t xml:space="preserve"> za jednu </w:t>
      </w:r>
      <w:r w:rsidR="00B02382">
        <w:rPr>
          <w:rFonts w:cs="Tahoma"/>
          <w:bCs/>
        </w:rPr>
        <w:t>kWh</w:t>
      </w:r>
      <w:r w:rsidR="005F1DF5">
        <w:rPr>
          <w:rFonts w:cs="Tahoma"/>
          <w:bCs/>
        </w:rPr>
        <w:t>. V</w:t>
      </w:r>
      <w:r w:rsidR="008C503E" w:rsidRPr="003D5D77">
        <w:rPr>
          <w:rFonts w:cs="Tahoma"/>
          <w:bCs/>
        </w:rPr>
        <w:t xml:space="preserve"> současnosti </w:t>
      </w:r>
      <w:r w:rsidR="005F1DF5">
        <w:rPr>
          <w:rFonts w:cs="Tahoma"/>
          <w:bCs/>
        </w:rPr>
        <w:t xml:space="preserve">je však elektrická energie </w:t>
      </w:r>
      <w:r w:rsidRPr="003D5D77">
        <w:rPr>
          <w:rFonts w:cs="Tahoma"/>
          <w:bCs/>
        </w:rPr>
        <w:t>prodávána koncovým spotřebitelům za třicetinásobek</w:t>
      </w:r>
      <w:r w:rsidR="008C503E" w:rsidRPr="003D5D77">
        <w:rPr>
          <w:rFonts w:cs="Tahoma"/>
          <w:bCs/>
        </w:rPr>
        <w:t xml:space="preserve"> této ceny</w:t>
      </w:r>
      <w:r w:rsidRPr="003D5D77">
        <w:rPr>
          <w:rFonts w:cs="Tahoma"/>
          <w:bCs/>
        </w:rPr>
        <w:t>, tedy za cenu 12 Kč</w:t>
      </w:r>
      <w:r w:rsidR="008C503E" w:rsidRPr="003D5D77">
        <w:rPr>
          <w:rFonts w:cs="Tahoma"/>
          <w:bCs/>
        </w:rPr>
        <w:t>/</w:t>
      </w:r>
      <w:r w:rsidR="00B02382">
        <w:rPr>
          <w:rFonts w:cs="Tahoma"/>
          <w:bCs/>
        </w:rPr>
        <w:t>kWh</w:t>
      </w:r>
      <w:r w:rsidR="008C503E" w:rsidRPr="003D5D77">
        <w:rPr>
          <w:rFonts w:cs="Tahoma"/>
          <w:bCs/>
        </w:rPr>
        <w:t xml:space="preserve">. </w:t>
      </w:r>
      <w:r w:rsidR="00A34B3D" w:rsidRPr="003D5D77">
        <w:rPr>
          <w:rFonts w:cs="Tahoma"/>
          <w:bCs/>
        </w:rPr>
        <w:t xml:space="preserve">Základním důvodem tohoto doslova explozivního nárůstu ceny elektrické energie je zcela účelová a bezdůvodná realizace prodeje elektrické energie </w:t>
      </w:r>
      <w:r w:rsidR="008C503E" w:rsidRPr="003D5D77">
        <w:rPr>
          <w:rFonts w:cs="Tahoma"/>
          <w:bCs/>
        </w:rPr>
        <w:t xml:space="preserve">ČEZ </w:t>
      </w:r>
      <w:r w:rsidR="00B467CE">
        <w:rPr>
          <w:rFonts w:cs="Tahoma"/>
          <w:bCs/>
        </w:rPr>
        <w:t>za ceny  dle</w:t>
      </w:r>
      <w:r w:rsidR="00A34B3D" w:rsidRPr="003D5D77">
        <w:rPr>
          <w:rFonts w:cs="Tahoma"/>
          <w:bCs/>
        </w:rPr>
        <w:t xml:space="preserve"> </w:t>
      </w:r>
      <w:r w:rsidR="008C503E" w:rsidRPr="003D5D77">
        <w:rPr>
          <w:rFonts w:cs="Tahoma"/>
          <w:bCs/>
        </w:rPr>
        <w:t>tzv. Lipské burzy</w:t>
      </w:r>
      <w:r w:rsidR="00B467CE">
        <w:rPr>
          <w:rFonts w:cs="Tahoma"/>
          <w:bCs/>
        </w:rPr>
        <w:t xml:space="preserve"> EEX, resp. Pražské burzy PXE, resp. přímo </w:t>
      </w:r>
      <w:r w:rsidR="003E3974">
        <w:rPr>
          <w:rFonts w:cs="Tahoma"/>
          <w:bCs/>
        </w:rPr>
        <w:t>přes tyto burzy</w:t>
      </w:r>
      <w:r w:rsidR="00A34B3D" w:rsidRPr="003D5D77">
        <w:rPr>
          <w:rFonts w:cs="Tahoma"/>
          <w:bCs/>
        </w:rPr>
        <w:t xml:space="preserve">. </w:t>
      </w:r>
      <w:r w:rsidR="008C503E" w:rsidRPr="003D5D77">
        <w:rPr>
          <w:rFonts w:cs="Tahoma"/>
          <w:bCs/>
        </w:rPr>
        <w:t xml:space="preserve"> </w:t>
      </w:r>
      <w:r w:rsidR="003D5D77">
        <w:rPr>
          <w:rFonts w:cs="Tahoma"/>
          <w:bCs/>
        </w:rPr>
        <w:t>K</w:t>
      </w:r>
      <w:r w:rsidR="00A34B3D" w:rsidRPr="003D5D77">
        <w:rPr>
          <w:rFonts w:cs="Tahoma"/>
          <w:bCs/>
        </w:rPr>
        <w:t xml:space="preserve"> takovému </w:t>
      </w:r>
      <w:r w:rsidR="003D5D77">
        <w:rPr>
          <w:rFonts w:cs="Tahoma"/>
          <w:bCs/>
        </w:rPr>
        <w:t xml:space="preserve">postupu však </w:t>
      </w:r>
      <w:r w:rsidR="00A34B3D" w:rsidRPr="003D5D77">
        <w:rPr>
          <w:rFonts w:cs="Tahoma"/>
          <w:bCs/>
        </w:rPr>
        <w:t xml:space="preserve">společnost ČEZ </w:t>
      </w:r>
      <w:r w:rsidR="003D5D77">
        <w:rPr>
          <w:rFonts w:cs="Tahoma"/>
          <w:bCs/>
        </w:rPr>
        <w:t xml:space="preserve">nezavazuje </w:t>
      </w:r>
      <w:r w:rsidR="00A34B3D" w:rsidRPr="003D5D77">
        <w:rPr>
          <w:rFonts w:cs="Tahoma"/>
          <w:bCs/>
        </w:rPr>
        <w:t xml:space="preserve">žádný </w:t>
      </w:r>
      <w:r w:rsidR="00105D6C" w:rsidRPr="003D5D77">
        <w:rPr>
          <w:rFonts w:cs="Tahoma"/>
          <w:bCs/>
        </w:rPr>
        <w:t xml:space="preserve">obecně závazný </w:t>
      </w:r>
      <w:r w:rsidR="00A34B3D" w:rsidRPr="003D5D77">
        <w:rPr>
          <w:rFonts w:cs="Tahoma"/>
          <w:bCs/>
        </w:rPr>
        <w:t>právní předpis</w:t>
      </w:r>
      <w:r w:rsidR="005F1DF5">
        <w:rPr>
          <w:rFonts w:cs="Tahoma"/>
          <w:bCs/>
        </w:rPr>
        <w:t xml:space="preserve"> ani převzatý mezinárodní závazek</w:t>
      </w:r>
      <w:r w:rsidR="00105D6C" w:rsidRPr="003D5D77">
        <w:rPr>
          <w:rFonts w:cs="Tahoma"/>
          <w:bCs/>
        </w:rPr>
        <w:t xml:space="preserve">. </w:t>
      </w:r>
    </w:p>
    <w:p w14:paraId="2A26A496" w14:textId="77777777" w:rsidR="00D50B7C" w:rsidRPr="003D5D77" w:rsidRDefault="00D50B7C" w:rsidP="00D50B7C">
      <w:pPr>
        <w:pStyle w:val="Odstavecseseznamem"/>
        <w:spacing w:after="160" w:line="259" w:lineRule="auto"/>
        <w:jc w:val="both"/>
        <w:rPr>
          <w:rFonts w:cs="Tahoma"/>
          <w:bCs/>
        </w:rPr>
      </w:pPr>
    </w:p>
    <w:p w14:paraId="2784C677" w14:textId="77777777" w:rsidR="00032574" w:rsidRDefault="00EE4FEC" w:rsidP="003D5D77">
      <w:pPr>
        <w:pStyle w:val="Odstavecseseznamem"/>
        <w:numPr>
          <w:ilvl w:val="0"/>
          <w:numId w:val="8"/>
        </w:numPr>
        <w:spacing w:after="160" w:line="259" w:lineRule="auto"/>
        <w:jc w:val="both"/>
        <w:rPr>
          <w:rFonts w:cs="Tahoma"/>
          <w:bCs/>
        </w:rPr>
      </w:pPr>
      <w:r w:rsidRPr="003D5D77">
        <w:rPr>
          <w:rFonts w:cs="Tahoma"/>
          <w:bCs/>
        </w:rPr>
        <w:t xml:space="preserve"> </w:t>
      </w:r>
      <w:r w:rsidR="00B467CE">
        <w:rPr>
          <w:rFonts w:cs="Tahoma"/>
          <w:bCs/>
        </w:rPr>
        <w:t>Z</w:t>
      </w:r>
      <w:r w:rsidRPr="003D5D77">
        <w:rPr>
          <w:rFonts w:cs="Tahoma"/>
          <w:bCs/>
        </w:rPr>
        <w:t xml:space="preserve">isk </w:t>
      </w:r>
      <w:r w:rsidR="00B467CE">
        <w:rPr>
          <w:rFonts w:cs="Tahoma"/>
          <w:bCs/>
        </w:rPr>
        <w:t xml:space="preserve">společnosti ČEZ </w:t>
      </w:r>
      <w:r w:rsidRPr="003D5D77">
        <w:rPr>
          <w:rFonts w:cs="Tahoma"/>
          <w:bCs/>
        </w:rPr>
        <w:t xml:space="preserve">jen za I. čtvrtletí tohoto roku </w:t>
      </w:r>
      <w:r w:rsidR="003D5D77">
        <w:rPr>
          <w:rFonts w:cs="Tahoma"/>
          <w:bCs/>
        </w:rPr>
        <w:t xml:space="preserve">činil </w:t>
      </w:r>
      <w:r w:rsidRPr="003D5D77">
        <w:rPr>
          <w:rFonts w:cs="Tahoma"/>
          <w:bCs/>
        </w:rPr>
        <w:t>26,7 miliardy Kč</w:t>
      </w:r>
      <w:r w:rsidR="00B467CE">
        <w:rPr>
          <w:rFonts w:cs="Tahoma"/>
          <w:bCs/>
        </w:rPr>
        <w:t xml:space="preserve">, oproti ustáleným </w:t>
      </w:r>
      <w:r w:rsidR="00BF0CD7">
        <w:rPr>
          <w:rFonts w:cs="Tahoma"/>
          <w:bCs/>
        </w:rPr>
        <w:t>celo</w:t>
      </w:r>
      <w:r w:rsidR="003E3974">
        <w:rPr>
          <w:rFonts w:cs="Tahoma"/>
          <w:bCs/>
        </w:rPr>
        <w:t xml:space="preserve">ročním ziskům </w:t>
      </w:r>
      <w:r w:rsidR="00BF0CD7">
        <w:rPr>
          <w:rFonts w:cs="Tahoma"/>
          <w:bCs/>
        </w:rPr>
        <w:t>po zdanění ve výši cca 20 miliard Kč</w:t>
      </w:r>
      <w:r w:rsidRPr="003D5D77">
        <w:rPr>
          <w:rFonts w:cs="Tahoma"/>
          <w:bCs/>
        </w:rPr>
        <w:t xml:space="preserve">. </w:t>
      </w:r>
      <w:r w:rsidR="009839AE" w:rsidRPr="003D5D77">
        <w:rPr>
          <w:rFonts w:cs="Tahoma"/>
          <w:bCs/>
        </w:rPr>
        <w:t>Toto bylo oznámeno samotnou společností ČEZ v její tiskové zprávě ze dne 10. 5. 2022, tedy v</w:t>
      </w:r>
      <w:r w:rsidR="00861CF0" w:rsidRPr="003D5D77">
        <w:rPr>
          <w:rFonts w:cs="Tahoma"/>
          <w:bCs/>
        </w:rPr>
        <w:t> </w:t>
      </w:r>
      <w:r w:rsidR="009839AE" w:rsidRPr="003D5D77">
        <w:rPr>
          <w:rFonts w:cs="Tahoma"/>
          <w:bCs/>
        </w:rPr>
        <w:t>době</w:t>
      </w:r>
      <w:r w:rsidR="00861CF0" w:rsidRPr="003D5D77">
        <w:rPr>
          <w:rFonts w:cs="Tahoma"/>
          <w:bCs/>
        </w:rPr>
        <w:t xml:space="preserve">, kdy </w:t>
      </w:r>
      <w:r w:rsidR="005F1D7F">
        <w:rPr>
          <w:rFonts w:cs="Tahoma"/>
          <w:bCs/>
        </w:rPr>
        <w:t xml:space="preserve">do cen energií již nesporně zasáhly i vnější vlivy, související s </w:t>
      </w:r>
      <w:r w:rsidR="005F1D7F" w:rsidRPr="003D5D77">
        <w:rPr>
          <w:rFonts w:cs="Tahoma"/>
          <w:bCs/>
        </w:rPr>
        <w:t>válk</w:t>
      </w:r>
      <w:r w:rsidR="005F1D7F">
        <w:rPr>
          <w:rFonts w:cs="Tahoma"/>
          <w:bCs/>
        </w:rPr>
        <w:t>ou</w:t>
      </w:r>
      <w:r w:rsidR="005F1D7F" w:rsidRPr="003D5D77">
        <w:rPr>
          <w:rFonts w:cs="Tahoma"/>
          <w:bCs/>
        </w:rPr>
        <w:t xml:space="preserve"> </w:t>
      </w:r>
      <w:r w:rsidR="009839AE" w:rsidRPr="003D5D77">
        <w:rPr>
          <w:rFonts w:cs="Tahoma"/>
          <w:bCs/>
        </w:rPr>
        <w:t>na Ukrajině</w:t>
      </w:r>
      <w:r w:rsidR="00861CF0" w:rsidRPr="003D5D77">
        <w:rPr>
          <w:rFonts w:cs="Tahoma"/>
          <w:bCs/>
        </w:rPr>
        <w:t xml:space="preserve"> </w:t>
      </w:r>
      <w:r w:rsidR="005F1D7F">
        <w:rPr>
          <w:rFonts w:cs="Tahoma"/>
          <w:bCs/>
        </w:rPr>
        <w:t xml:space="preserve">(k uvedenému datu </w:t>
      </w:r>
      <w:r w:rsidR="00861CF0" w:rsidRPr="003D5D77">
        <w:rPr>
          <w:rFonts w:cs="Tahoma"/>
          <w:bCs/>
        </w:rPr>
        <w:t xml:space="preserve">trvala </w:t>
      </w:r>
      <w:r w:rsidR="003D5D77">
        <w:rPr>
          <w:rFonts w:cs="Tahoma"/>
          <w:bCs/>
        </w:rPr>
        <w:t xml:space="preserve">již </w:t>
      </w:r>
      <w:r w:rsidR="00861CF0" w:rsidRPr="003D5D77">
        <w:rPr>
          <w:rFonts w:cs="Tahoma"/>
          <w:bCs/>
        </w:rPr>
        <w:t>bezmála čtvrt roku</w:t>
      </w:r>
      <w:r w:rsidR="005F1D7F">
        <w:rPr>
          <w:rFonts w:cs="Tahoma"/>
          <w:bCs/>
        </w:rPr>
        <w:t xml:space="preserve">), které, </w:t>
      </w:r>
      <w:r w:rsidR="00666123">
        <w:rPr>
          <w:rFonts w:cs="Tahoma"/>
          <w:bCs/>
        </w:rPr>
        <w:t>pokud by skutečně byl</w:t>
      </w:r>
      <w:r w:rsidR="005F1D7F">
        <w:rPr>
          <w:rFonts w:cs="Tahoma"/>
          <w:bCs/>
        </w:rPr>
        <w:t>y</w:t>
      </w:r>
      <w:r w:rsidR="00666123">
        <w:rPr>
          <w:rFonts w:cs="Tahoma"/>
          <w:bCs/>
        </w:rPr>
        <w:t xml:space="preserve"> </w:t>
      </w:r>
      <w:r w:rsidR="009839AE" w:rsidRPr="003D5D77">
        <w:rPr>
          <w:rFonts w:cs="Tahoma"/>
          <w:bCs/>
        </w:rPr>
        <w:t>„</w:t>
      </w:r>
      <w:r w:rsidR="009839AE" w:rsidRPr="00D50B7C">
        <w:rPr>
          <w:rFonts w:cs="Tahoma"/>
          <w:bCs/>
          <w:i/>
          <w:iCs/>
        </w:rPr>
        <w:t>signifikantní ekonomick</w:t>
      </w:r>
      <w:r w:rsidR="00666123">
        <w:rPr>
          <w:rFonts w:cs="Tahoma"/>
          <w:bCs/>
          <w:i/>
          <w:iCs/>
        </w:rPr>
        <w:t>ou</w:t>
      </w:r>
      <w:r w:rsidR="009839AE" w:rsidRPr="00D50B7C">
        <w:rPr>
          <w:rFonts w:cs="Tahoma"/>
          <w:bCs/>
          <w:i/>
          <w:iCs/>
        </w:rPr>
        <w:t xml:space="preserve"> nejistot</w:t>
      </w:r>
      <w:r w:rsidR="00666123">
        <w:rPr>
          <w:rFonts w:cs="Tahoma"/>
          <w:bCs/>
          <w:i/>
          <w:iCs/>
        </w:rPr>
        <w:t>ou</w:t>
      </w:r>
      <w:r w:rsidR="009839AE" w:rsidRPr="003D5D77">
        <w:rPr>
          <w:rFonts w:cs="Tahoma"/>
          <w:bCs/>
        </w:rPr>
        <w:t xml:space="preserve">“, </w:t>
      </w:r>
      <w:r w:rsidR="00666123">
        <w:rPr>
          <w:rFonts w:cs="Tahoma"/>
          <w:bCs/>
        </w:rPr>
        <w:t>musel</w:t>
      </w:r>
      <w:r w:rsidR="005F1D7F">
        <w:rPr>
          <w:rFonts w:cs="Tahoma"/>
          <w:bCs/>
        </w:rPr>
        <w:t>y</w:t>
      </w:r>
      <w:r w:rsidR="00666123">
        <w:rPr>
          <w:rFonts w:cs="Tahoma"/>
          <w:bCs/>
        </w:rPr>
        <w:t xml:space="preserve"> by se v tomto okamžiku již v plné síle projevit. </w:t>
      </w:r>
      <w:r w:rsidR="009839AE" w:rsidRPr="003D5D77">
        <w:rPr>
          <w:rFonts w:cs="Tahoma"/>
          <w:bCs/>
        </w:rPr>
        <w:t xml:space="preserve">   </w:t>
      </w:r>
    </w:p>
    <w:p w14:paraId="2BBE9102" w14:textId="77777777" w:rsidR="00D50B7C" w:rsidRPr="003D5D77" w:rsidRDefault="00D50B7C" w:rsidP="00D50B7C">
      <w:pPr>
        <w:pStyle w:val="Odstavecseseznamem"/>
        <w:spacing w:after="160" w:line="259" w:lineRule="auto"/>
        <w:jc w:val="both"/>
        <w:rPr>
          <w:rFonts w:cs="Tahoma"/>
          <w:bCs/>
        </w:rPr>
      </w:pPr>
    </w:p>
    <w:p w14:paraId="48CDC208" w14:textId="77777777" w:rsidR="009D569B" w:rsidRPr="00EA24CC" w:rsidRDefault="00861CF0" w:rsidP="003D5D77">
      <w:pPr>
        <w:pStyle w:val="Odstavecseseznamem"/>
        <w:numPr>
          <w:ilvl w:val="0"/>
          <w:numId w:val="8"/>
        </w:numPr>
        <w:spacing w:after="160" w:line="259" w:lineRule="auto"/>
        <w:jc w:val="both"/>
        <w:rPr>
          <w:rFonts w:cs="Tahoma"/>
          <w:bCs/>
          <w:i/>
        </w:rPr>
      </w:pPr>
      <w:r w:rsidRPr="0051380B">
        <w:rPr>
          <w:rFonts w:cs="Tahoma"/>
          <w:bCs/>
        </w:rPr>
        <w:t>Pouhé dva měsíce poté</w:t>
      </w:r>
      <w:r w:rsidR="00666123">
        <w:rPr>
          <w:rFonts w:cs="Tahoma"/>
          <w:bCs/>
        </w:rPr>
        <w:t>, co byl</w:t>
      </w:r>
      <w:r w:rsidR="005F1D7F">
        <w:rPr>
          <w:rFonts w:cs="Tahoma"/>
          <w:bCs/>
        </w:rPr>
        <w:t>o</w:t>
      </w:r>
      <w:r w:rsidR="00666123">
        <w:rPr>
          <w:rFonts w:cs="Tahoma"/>
          <w:bCs/>
        </w:rPr>
        <w:t xml:space="preserve"> oznámeno </w:t>
      </w:r>
      <w:r w:rsidR="0051380B">
        <w:rPr>
          <w:rFonts w:cs="Tahoma"/>
          <w:bCs/>
        </w:rPr>
        <w:t>rekordní z</w:t>
      </w:r>
      <w:r w:rsidRPr="0051380B">
        <w:rPr>
          <w:rFonts w:cs="Tahoma"/>
          <w:bCs/>
        </w:rPr>
        <w:t xml:space="preserve">výšení </w:t>
      </w:r>
      <w:r w:rsidR="00EA24CC">
        <w:rPr>
          <w:rFonts w:cs="Tahoma"/>
          <w:bCs/>
        </w:rPr>
        <w:t xml:space="preserve">dosahovaného </w:t>
      </w:r>
      <w:r w:rsidR="0051380B">
        <w:rPr>
          <w:rFonts w:cs="Tahoma"/>
          <w:bCs/>
        </w:rPr>
        <w:t>zisku</w:t>
      </w:r>
      <w:r w:rsidR="00EA24CC">
        <w:rPr>
          <w:rFonts w:cs="Tahoma"/>
          <w:bCs/>
        </w:rPr>
        <w:t>,</w:t>
      </w:r>
      <w:r w:rsidR="0051380B">
        <w:rPr>
          <w:rFonts w:cs="Tahoma"/>
          <w:bCs/>
        </w:rPr>
        <w:t xml:space="preserve"> uzavírá společnost </w:t>
      </w:r>
      <w:r w:rsidR="00666123">
        <w:rPr>
          <w:rFonts w:cs="Tahoma"/>
          <w:bCs/>
        </w:rPr>
        <w:t xml:space="preserve">ČEZ </w:t>
      </w:r>
      <w:r w:rsidR="00EA24CC">
        <w:rPr>
          <w:rFonts w:cs="Tahoma"/>
          <w:bCs/>
        </w:rPr>
        <w:t xml:space="preserve">zcela </w:t>
      </w:r>
      <w:r w:rsidR="00666123">
        <w:rPr>
          <w:rFonts w:cs="Tahoma"/>
          <w:bCs/>
        </w:rPr>
        <w:t xml:space="preserve">bezdůvodně </w:t>
      </w:r>
      <w:r w:rsidRPr="0051380B">
        <w:rPr>
          <w:rFonts w:cs="Tahoma"/>
          <w:bCs/>
        </w:rPr>
        <w:t xml:space="preserve">smlouvu </w:t>
      </w:r>
      <w:r w:rsidR="003D5D77" w:rsidRPr="0051380B">
        <w:rPr>
          <w:rFonts w:cs="Tahoma"/>
          <w:bCs/>
        </w:rPr>
        <w:t>s Českou republikou</w:t>
      </w:r>
      <w:r w:rsidR="00666123">
        <w:rPr>
          <w:rFonts w:cs="Tahoma"/>
          <w:bCs/>
        </w:rPr>
        <w:t>,</w:t>
      </w:r>
      <w:r w:rsidR="003D5D77" w:rsidRPr="0051380B">
        <w:rPr>
          <w:rFonts w:cs="Tahoma"/>
          <w:bCs/>
        </w:rPr>
        <w:t xml:space="preserve"> zastoupenou Ministerstvem financí</w:t>
      </w:r>
      <w:r w:rsidR="00666123">
        <w:rPr>
          <w:rFonts w:cs="Tahoma"/>
          <w:bCs/>
        </w:rPr>
        <w:t xml:space="preserve">, </w:t>
      </w:r>
      <w:r w:rsidRPr="0051380B">
        <w:rPr>
          <w:rFonts w:cs="Tahoma"/>
          <w:bCs/>
        </w:rPr>
        <w:t xml:space="preserve">o </w:t>
      </w:r>
      <w:r w:rsidR="00666123">
        <w:rPr>
          <w:rFonts w:cs="Tahoma"/>
          <w:bCs/>
        </w:rPr>
        <w:t>čerpání tř</w:t>
      </w:r>
      <w:r w:rsidR="005F1D7F">
        <w:rPr>
          <w:rFonts w:cs="Tahoma"/>
          <w:bCs/>
        </w:rPr>
        <w:t>í</w:t>
      </w:r>
      <w:r w:rsidR="00666123">
        <w:rPr>
          <w:rFonts w:cs="Tahoma"/>
          <w:bCs/>
        </w:rPr>
        <w:t xml:space="preserve"> </w:t>
      </w:r>
      <w:r w:rsidRPr="0051380B">
        <w:rPr>
          <w:rFonts w:cs="Tahoma"/>
          <w:bCs/>
        </w:rPr>
        <w:t>úvěr</w:t>
      </w:r>
      <w:r w:rsidR="00666123">
        <w:rPr>
          <w:rFonts w:cs="Tahoma"/>
          <w:bCs/>
        </w:rPr>
        <w:t>ů</w:t>
      </w:r>
      <w:r w:rsidRPr="0051380B">
        <w:rPr>
          <w:rFonts w:cs="Tahoma"/>
          <w:bCs/>
        </w:rPr>
        <w:t xml:space="preserve"> v celkové výši 3 miliard EUR</w:t>
      </w:r>
      <w:r w:rsidR="003D5D77" w:rsidRPr="0051380B">
        <w:rPr>
          <w:rFonts w:cs="Tahoma"/>
          <w:bCs/>
        </w:rPr>
        <w:t xml:space="preserve">. Ve smlouvě je obsaženo následující </w:t>
      </w:r>
      <w:r w:rsidRPr="0051380B">
        <w:rPr>
          <w:rFonts w:cs="Tahoma"/>
          <w:bCs/>
        </w:rPr>
        <w:t xml:space="preserve">odůvodnění: </w:t>
      </w:r>
      <w:r w:rsidR="009D569B" w:rsidRPr="0051380B">
        <w:rPr>
          <w:rFonts w:cs="Tahoma"/>
          <w:bCs/>
          <w:i/>
        </w:rPr>
        <w:t xml:space="preserve">„Současná krize v souvislosti s ruskou agresí na Ukrajině vytvořila signifikantní ekonomickou nejistotu, narušila globální obchodní toky a dodavatelské řetězce a vedla mimo jiné k významným dopadům na trh s energií a vyvolala výjimečně velký a neočekávaný nárůst cen zvláště elektřiny a plynu v EU. Úvěrovaný, jakožto největší výrobce elektřiny v České republice a zároveň nejvýznamnější energetická společnost v České republice, v souvislosti s bezprecedentní situací na trhu s energetickými produkty z důvodu skokového navýšení cen čelí </w:t>
      </w:r>
      <w:r w:rsidR="009D569B" w:rsidRPr="0051380B">
        <w:rPr>
          <w:rFonts w:cs="Tahoma"/>
          <w:bCs/>
          <w:i/>
        </w:rPr>
        <w:lastRenderedPageBreak/>
        <w:t>povinnosti skládat enormně vysoké hotovostní zástavy, které významně omezují zdroje likvidity Úvěrovaného“.</w:t>
      </w:r>
    </w:p>
    <w:p w14:paraId="1899919D" w14:textId="77777777" w:rsidR="00EA24CC" w:rsidRPr="00EA24CC" w:rsidRDefault="00EA24CC" w:rsidP="00EA24CC">
      <w:pPr>
        <w:pStyle w:val="Odstavecseseznamem"/>
        <w:rPr>
          <w:rFonts w:cs="Tahoma"/>
          <w:bCs/>
          <w:i/>
        </w:rPr>
      </w:pPr>
    </w:p>
    <w:p w14:paraId="5673EC4E" w14:textId="77777777" w:rsidR="00D24FDA" w:rsidRDefault="00174B3E" w:rsidP="003D5D77">
      <w:pPr>
        <w:pStyle w:val="Odstavecseseznamem"/>
        <w:numPr>
          <w:ilvl w:val="0"/>
          <w:numId w:val="8"/>
        </w:numPr>
        <w:spacing w:after="160" w:line="259" w:lineRule="auto"/>
        <w:jc w:val="both"/>
        <w:rPr>
          <w:rFonts w:cs="Tahoma"/>
          <w:bCs/>
        </w:rPr>
      </w:pPr>
      <w:r>
        <w:rPr>
          <w:rFonts w:cs="Tahoma"/>
          <w:bCs/>
        </w:rPr>
        <w:t xml:space="preserve">Skladba energetických výrobních zdrojů </w:t>
      </w:r>
      <w:r w:rsidR="00136830">
        <w:rPr>
          <w:rFonts w:cs="Tahoma"/>
          <w:bCs/>
        </w:rPr>
        <w:t>s</w:t>
      </w:r>
      <w:r w:rsidR="00D24FDA">
        <w:rPr>
          <w:rFonts w:cs="Tahoma"/>
          <w:bCs/>
        </w:rPr>
        <w:t>polečnost</w:t>
      </w:r>
      <w:r w:rsidR="00136830">
        <w:rPr>
          <w:rFonts w:cs="Tahoma"/>
          <w:bCs/>
        </w:rPr>
        <w:t>i</w:t>
      </w:r>
      <w:r w:rsidR="00D24FDA">
        <w:rPr>
          <w:rFonts w:cs="Tahoma"/>
          <w:bCs/>
        </w:rPr>
        <w:t xml:space="preserve"> ČEZ </w:t>
      </w:r>
      <w:r>
        <w:rPr>
          <w:rFonts w:cs="Tahoma"/>
          <w:bCs/>
        </w:rPr>
        <w:t xml:space="preserve">(tzv. energetický mix) </w:t>
      </w:r>
      <w:r w:rsidR="00D24FDA">
        <w:rPr>
          <w:rFonts w:cs="Tahoma"/>
          <w:bCs/>
        </w:rPr>
        <w:t xml:space="preserve">je </w:t>
      </w:r>
      <w:r>
        <w:rPr>
          <w:rFonts w:cs="Tahoma"/>
          <w:bCs/>
        </w:rPr>
        <w:t xml:space="preserve">stabilní a podíl plynových či paroplynových elektráren, kde by se teoreticky mohlo projevit snížení dodávek </w:t>
      </w:r>
      <w:r w:rsidR="00DB6466">
        <w:rPr>
          <w:rFonts w:cs="Tahoma"/>
          <w:bCs/>
        </w:rPr>
        <w:t xml:space="preserve">zemního </w:t>
      </w:r>
      <w:r>
        <w:rPr>
          <w:rFonts w:cs="Tahoma"/>
          <w:bCs/>
        </w:rPr>
        <w:t>plynu do Č</w:t>
      </w:r>
      <w:r w:rsidR="005F1DF5">
        <w:rPr>
          <w:rFonts w:cs="Tahoma"/>
          <w:bCs/>
        </w:rPr>
        <w:t>eské republiky z Ruské federace</w:t>
      </w:r>
      <w:r>
        <w:rPr>
          <w:rFonts w:cs="Tahoma"/>
          <w:bCs/>
        </w:rPr>
        <w:t>, činí méně než 11</w:t>
      </w:r>
      <w:r w:rsidR="005F1D7F">
        <w:rPr>
          <w:rFonts w:cs="Tahoma"/>
          <w:bCs/>
        </w:rPr>
        <w:t xml:space="preserve"> </w:t>
      </w:r>
      <w:r>
        <w:rPr>
          <w:rFonts w:cs="Tahoma"/>
          <w:bCs/>
        </w:rPr>
        <w:t xml:space="preserve">% </w:t>
      </w:r>
      <w:r w:rsidR="00DB6466">
        <w:rPr>
          <w:rFonts w:cs="Tahoma"/>
          <w:bCs/>
        </w:rPr>
        <w:t xml:space="preserve">její </w:t>
      </w:r>
      <w:r>
        <w:rPr>
          <w:rFonts w:cs="Tahoma"/>
          <w:bCs/>
        </w:rPr>
        <w:t xml:space="preserve">celkové </w:t>
      </w:r>
      <w:r w:rsidR="00A226BC">
        <w:rPr>
          <w:rFonts w:cs="Tahoma"/>
          <w:bCs/>
        </w:rPr>
        <w:t>výroby</w:t>
      </w:r>
      <w:r w:rsidR="00136830">
        <w:rPr>
          <w:rFonts w:cs="Tahoma"/>
          <w:bCs/>
        </w:rPr>
        <w:t xml:space="preserve">. </w:t>
      </w:r>
      <w:r w:rsidR="005F1DF5">
        <w:rPr>
          <w:rFonts w:cs="Tahoma"/>
          <w:bCs/>
        </w:rPr>
        <w:t xml:space="preserve"> </w:t>
      </w:r>
      <w:r>
        <w:rPr>
          <w:rFonts w:cs="Tahoma"/>
          <w:bCs/>
        </w:rPr>
        <w:t xml:space="preserve"> </w:t>
      </w:r>
      <w:r w:rsidR="00136830">
        <w:rPr>
          <w:rFonts w:cs="Tahoma"/>
          <w:bCs/>
        </w:rPr>
        <w:t>Odvolávka na „</w:t>
      </w:r>
      <w:r w:rsidR="00136830" w:rsidRPr="00136830">
        <w:rPr>
          <w:rFonts w:cs="Tahoma"/>
          <w:bCs/>
          <w:i/>
          <w:iCs/>
        </w:rPr>
        <w:t>současnou krizi v souvislosti s ruskou agresí na Ukrajině</w:t>
      </w:r>
      <w:r w:rsidR="00136830">
        <w:rPr>
          <w:rFonts w:cs="Tahoma"/>
          <w:bCs/>
        </w:rPr>
        <w:t>“ tak</w:t>
      </w:r>
      <w:r w:rsidR="005F1D7F">
        <w:rPr>
          <w:rFonts w:cs="Tahoma"/>
          <w:bCs/>
        </w:rPr>
        <w:t>,</w:t>
      </w:r>
      <w:r w:rsidR="00136830">
        <w:rPr>
          <w:rFonts w:cs="Tahoma"/>
          <w:bCs/>
        </w:rPr>
        <w:t xml:space="preserve"> jak je uvedena ve smlouvě o úvěru, nemůže být z hlediska finanční stability společnosti ČEZ a zejména její cenotvorby pro koncové zákazníky validní.   </w:t>
      </w:r>
      <w:r w:rsidR="00D24FDA">
        <w:rPr>
          <w:rFonts w:cs="Tahoma"/>
          <w:bCs/>
        </w:rPr>
        <w:t xml:space="preserve"> </w:t>
      </w:r>
    </w:p>
    <w:p w14:paraId="383D55FC" w14:textId="77777777" w:rsidR="00853F60" w:rsidRDefault="00853F60" w:rsidP="00A37305">
      <w:pPr>
        <w:pStyle w:val="Odstavecseseznamem"/>
        <w:rPr>
          <w:rFonts w:cs="Tahoma"/>
          <w:bCs/>
        </w:rPr>
      </w:pPr>
    </w:p>
    <w:p w14:paraId="241882BC" w14:textId="77777777" w:rsidR="00C43D3E" w:rsidRDefault="00C43D3E" w:rsidP="003D5D77">
      <w:pPr>
        <w:pStyle w:val="Odstavecseseznamem"/>
        <w:numPr>
          <w:ilvl w:val="0"/>
          <w:numId w:val="8"/>
        </w:numPr>
        <w:spacing w:after="160" w:line="259" w:lineRule="auto"/>
        <w:jc w:val="both"/>
        <w:rPr>
          <w:rFonts w:cs="Tahoma"/>
          <w:bCs/>
        </w:rPr>
      </w:pPr>
      <w:r>
        <w:rPr>
          <w:rFonts w:cs="Tahoma"/>
          <w:bCs/>
        </w:rPr>
        <w:t xml:space="preserve">Vzájemným porovnáním skutečností </w:t>
      </w:r>
      <w:r w:rsidR="00372EDC">
        <w:rPr>
          <w:rFonts w:cs="Tahoma"/>
          <w:bCs/>
        </w:rPr>
        <w:t xml:space="preserve">shora </w:t>
      </w:r>
      <w:r>
        <w:rPr>
          <w:rFonts w:cs="Tahoma"/>
          <w:bCs/>
        </w:rPr>
        <w:t>uvedených pod body 3, 4 a 6</w:t>
      </w:r>
      <w:r w:rsidR="00372EDC">
        <w:rPr>
          <w:rFonts w:cs="Tahoma"/>
          <w:bCs/>
        </w:rPr>
        <w:t xml:space="preserve"> lze proto spolehlivě dovodit</w:t>
      </w:r>
      <w:r>
        <w:rPr>
          <w:rFonts w:cs="Tahoma"/>
          <w:bCs/>
        </w:rPr>
        <w:t xml:space="preserve">, že </w:t>
      </w:r>
      <w:r w:rsidR="00372EDC">
        <w:rPr>
          <w:rFonts w:cs="Tahoma"/>
          <w:bCs/>
        </w:rPr>
        <w:t xml:space="preserve">výše citované </w:t>
      </w:r>
      <w:r>
        <w:rPr>
          <w:rFonts w:cs="Tahoma"/>
          <w:bCs/>
        </w:rPr>
        <w:t xml:space="preserve">tvrzení o důvodech uzavření úvěrové smlouvy ze dne 8. července 2022 musí být ze své podstaty </w:t>
      </w:r>
      <w:r w:rsidR="00372EDC">
        <w:rPr>
          <w:rFonts w:cs="Tahoma"/>
          <w:bCs/>
        </w:rPr>
        <w:t xml:space="preserve">hrubě </w:t>
      </w:r>
      <w:r>
        <w:rPr>
          <w:rFonts w:cs="Tahoma"/>
          <w:bCs/>
        </w:rPr>
        <w:t>nepravdivé</w:t>
      </w:r>
      <w:r w:rsidR="00FE38DE">
        <w:rPr>
          <w:rFonts w:cs="Tahoma"/>
          <w:bCs/>
        </w:rPr>
        <w:t>. N</w:t>
      </w:r>
      <w:r>
        <w:rPr>
          <w:rFonts w:cs="Tahoma"/>
          <w:bCs/>
        </w:rPr>
        <w:t xml:space="preserve">elze </w:t>
      </w:r>
      <w:r w:rsidR="00FE38DE">
        <w:rPr>
          <w:rFonts w:cs="Tahoma"/>
          <w:bCs/>
        </w:rPr>
        <w:t xml:space="preserve">si totiž </w:t>
      </w:r>
      <w:r>
        <w:rPr>
          <w:rFonts w:cs="Tahoma"/>
          <w:bCs/>
        </w:rPr>
        <w:t>představit</w:t>
      </w:r>
      <w:r w:rsidR="00372EDC">
        <w:rPr>
          <w:rFonts w:cs="Tahoma"/>
          <w:bCs/>
        </w:rPr>
        <w:t xml:space="preserve"> – a finanční indikátory společnosti ČEZ toto ani nenaznačují</w:t>
      </w:r>
      <w:r w:rsidR="00AD3018">
        <w:rPr>
          <w:rFonts w:cs="Tahoma"/>
          <w:bCs/>
        </w:rPr>
        <w:t>,</w:t>
      </w:r>
      <w:r>
        <w:rPr>
          <w:rFonts w:cs="Tahoma"/>
          <w:bCs/>
        </w:rPr>
        <w:t xml:space="preserve"> že by se hospodaření společnosti ČEZ během pár týdnů </w:t>
      </w:r>
      <w:r w:rsidR="00FE38DE">
        <w:rPr>
          <w:rFonts w:cs="Tahoma"/>
          <w:bCs/>
        </w:rPr>
        <w:t xml:space="preserve">rapidně </w:t>
      </w:r>
      <w:r>
        <w:rPr>
          <w:rFonts w:cs="Tahoma"/>
          <w:bCs/>
        </w:rPr>
        <w:t>zhoršilo na</w:t>
      </w:r>
      <w:r w:rsidR="00372EDC">
        <w:rPr>
          <w:rFonts w:cs="Tahoma"/>
          <w:bCs/>
        </w:rPr>
        <w:t>tolik, že by vyžadovalo tak masivní finanční podporu ze strany státu.  Nabízí se proto vysvětlení, že stát byl společností ČEZ účelově uveden v omyl s cílem čerp</w:t>
      </w:r>
      <w:r w:rsidR="0082547B">
        <w:rPr>
          <w:rFonts w:cs="Tahoma"/>
          <w:bCs/>
        </w:rPr>
        <w:t xml:space="preserve">ání státních </w:t>
      </w:r>
      <w:r w:rsidR="00FE38DE">
        <w:rPr>
          <w:rFonts w:cs="Tahoma"/>
          <w:bCs/>
        </w:rPr>
        <w:t xml:space="preserve">finančních </w:t>
      </w:r>
      <w:r w:rsidR="0082547B">
        <w:rPr>
          <w:rFonts w:cs="Tahoma"/>
          <w:bCs/>
        </w:rPr>
        <w:t>prostředků</w:t>
      </w:r>
      <w:r w:rsidR="00735C61">
        <w:rPr>
          <w:rFonts w:cs="Tahoma"/>
          <w:bCs/>
        </w:rPr>
        <w:t xml:space="preserve">, </w:t>
      </w:r>
      <w:r w:rsidR="0082547B">
        <w:rPr>
          <w:rFonts w:cs="Tahoma"/>
          <w:bCs/>
        </w:rPr>
        <w:t>vytvoř</w:t>
      </w:r>
      <w:r w:rsidR="00735C61">
        <w:rPr>
          <w:rFonts w:cs="Tahoma"/>
          <w:bCs/>
        </w:rPr>
        <w:t xml:space="preserve">ení </w:t>
      </w:r>
      <w:r w:rsidR="0082547B">
        <w:rPr>
          <w:rFonts w:cs="Tahoma"/>
          <w:bCs/>
        </w:rPr>
        <w:t xml:space="preserve">zdání </w:t>
      </w:r>
      <w:r w:rsidR="00FE38DE">
        <w:rPr>
          <w:rFonts w:cs="Tahoma"/>
          <w:bCs/>
        </w:rPr>
        <w:t xml:space="preserve">mimořádně </w:t>
      </w:r>
      <w:bookmarkStart w:id="1" w:name="_Hlk110239395"/>
      <w:r w:rsidR="00FE38DE">
        <w:rPr>
          <w:rFonts w:cs="Tahoma"/>
          <w:bCs/>
        </w:rPr>
        <w:t xml:space="preserve">závažné </w:t>
      </w:r>
      <w:r w:rsidR="0082547B">
        <w:rPr>
          <w:rFonts w:cs="Tahoma"/>
          <w:bCs/>
        </w:rPr>
        <w:t>krizové situace</w:t>
      </w:r>
      <w:r w:rsidR="00FE38DE">
        <w:rPr>
          <w:rFonts w:cs="Tahoma"/>
          <w:bCs/>
        </w:rPr>
        <w:t xml:space="preserve"> při zásobování elektrickou energií</w:t>
      </w:r>
      <w:bookmarkEnd w:id="1"/>
      <w:r w:rsidR="00735C61">
        <w:rPr>
          <w:rFonts w:cs="Tahoma"/>
          <w:bCs/>
        </w:rPr>
        <w:t xml:space="preserve">, </w:t>
      </w:r>
      <w:r w:rsidR="00FE38DE">
        <w:rPr>
          <w:rFonts w:cs="Tahoma"/>
          <w:bCs/>
        </w:rPr>
        <w:t>utvr</w:t>
      </w:r>
      <w:r w:rsidR="00735C61">
        <w:rPr>
          <w:rFonts w:cs="Tahoma"/>
          <w:bCs/>
        </w:rPr>
        <w:t xml:space="preserve">zení </w:t>
      </w:r>
      <w:r w:rsidR="00FE38DE">
        <w:rPr>
          <w:rFonts w:cs="Tahoma"/>
          <w:bCs/>
        </w:rPr>
        <w:t>obyvatel v účelově vytvořené</w:t>
      </w:r>
      <w:r w:rsidR="00735C61">
        <w:rPr>
          <w:rFonts w:cs="Tahoma"/>
          <w:bCs/>
        </w:rPr>
        <w:t>m</w:t>
      </w:r>
      <w:r w:rsidR="00AD3018">
        <w:rPr>
          <w:rFonts w:cs="Tahoma"/>
          <w:bCs/>
        </w:rPr>
        <w:t xml:space="preserve"> strachu a </w:t>
      </w:r>
      <w:r w:rsidR="00735C61">
        <w:rPr>
          <w:rFonts w:cs="Tahoma"/>
          <w:bCs/>
        </w:rPr>
        <w:t xml:space="preserve">k jejich </w:t>
      </w:r>
      <w:r w:rsidR="00AD3018">
        <w:rPr>
          <w:rFonts w:cs="Tahoma"/>
          <w:bCs/>
        </w:rPr>
        <w:t>donu</w:t>
      </w:r>
      <w:r w:rsidR="00735C61">
        <w:rPr>
          <w:rFonts w:cs="Tahoma"/>
          <w:bCs/>
        </w:rPr>
        <w:t xml:space="preserve">cení </w:t>
      </w:r>
      <w:r w:rsidR="00AD3018">
        <w:rPr>
          <w:rFonts w:cs="Tahoma"/>
          <w:bCs/>
        </w:rPr>
        <w:t>akcept</w:t>
      </w:r>
      <w:r w:rsidR="00735C61">
        <w:rPr>
          <w:rFonts w:cs="Tahoma"/>
          <w:bCs/>
        </w:rPr>
        <w:t xml:space="preserve">ovat zcela </w:t>
      </w:r>
      <w:r w:rsidR="00AD3018">
        <w:rPr>
          <w:rFonts w:cs="Tahoma"/>
          <w:bCs/>
        </w:rPr>
        <w:t>přemrštěných cen</w:t>
      </w:r>
      <w:r w:rsidR="00735C61">
        <w:rPr>
          <w:rFonts w:cs="Tahoma"/>
          <w:bCs/>
        </w:rPr>
        <w:t>y</w:t>
      </w:r>
      <w:r w:rsidR="00AD3018">
        <w:rPr>
          <w:rFonts w:cs="Tahoma"/>
          <w:bCs/>
        </w:rPr>
        <w:t xml:space="preserve"> elektrické energie</w:t>
      </w:r>
      <w:r w:rsidR="00F81896">
        <w:rPr>
          <w:rFonts w:cs="Tahoma"/>
          <w:bCs/>
        </w:rPr>
        <w:t>, případně jim odběr elektrické energie zcela znemožnit</w:t>
      </w:r>
      <w:r w:rsidR="0082547B">
        <w:rPr>
          <w:rFonts w:cs="Tahoma"/>
          <w:bCs/>
        </w:rPr>
        <w:t xml:space="preserve">.    </w:t>
      </w:r>
      <w:r w:rsidR="00372EDC">
        <w:rPr>
          <w:rFonts w:cs="Tahoma"/>
          <w:bCs/>
        </w:rPr>
        <w:t xml:space="preserve"> </w:t>
      </w:r>
      <w:r>
        <w:rPr>
          <w:rFonts w:cs="Tahoma"/>
          <w:bCs/>
        </w:rPr>
        <w:t xml:space="preserve">  </w:t>
      </w:r>
    </w:p>
    <w:p w14:paraId="5B5C2622" w14:textId="77777777" w:rsidR="00D24FDA" w:rsidRPr="00D24FDA" w:rsidRDefault="00D24FDA" w:rsidP="00D24FDA">
      <w:pPr>
        <w:pStyle w:val="Odstavecseseznamem"/>
        <w:rPr>
          <w:rFonts w:cs="Tahoma"/>
          <w:bCs/>
        </w:rPr>
      </w:pPr>
    </w:p>
    <w:p w14:paraId="792FDD42" w14:textId="77777777" w:rsidR="00D24705" w:rsidRDefault="003B43B9" w:rsidP="003D5D77">
      <w:pPr>
        <w:pStyle w:val="Odstavecseseznamem"/>
        <w:numPr>
          <w:ilvl w:val="0"/>
          <w:numId w:val="8"/>
        </w:numPr>
        <w:spacing w:after="160" w:line="259" w:lineRule="auto"/>
        <w:jc w:val="both"/>
        <w:rPr>
          <w:rFonts w:cs="Tahoma"/>
          <w:bCs/>
        </w:rPr>
      </w:pPr>
      <w:r>
        <w:rPr>
          <w:rFonts w:cs="Tahoma"/>
          <w:bCs/>
        </w:rPr>
        <w:t>E</w:t>
      </w:r>
      <w:r w:rsidR="00D50B7C">
        <w:rPr>
          <w:rFonts w:cs="Tahoma"/>
          <w:bCs/>
        </w:rPr>
        <w:t>lektrick</w:t>
      </w:r>
      <w:r w:rsidR="00551CA6">
        <w:rPr>
          <w:rFonts w:cs="Tahoma"/>
          <w:bCs/>
        </w:rPr>
        <w:t>á</w:t>
      </w:r>
      <w:r w:rsidR="00D50B7C">
        <w:rPr>
          <w:rFonts w:cs="Tahoma"/>
          <w:bCs/>
        </w:rPr>
        <w:t xml:space="preserve"> energi</w:t>
      </w:r>
      <w:r w:rsidR="005F1D7F">
        <w:rPr>
          <w:rFonts w:cs="Tahoma"/>
          <w:bCs/>
        </w:rPr>
        <w:t>e</w:t>
      </w:r>
      <w:r w:rsidR="00D50B7C">
        <w:rPr>
          <w:rFonts w:cs="Tahoma"/>
          <w:bCs/>
        </w:rPr>
        <w:t xml:space="preserve"> je základní lidskou </w:t>
      </w:r>
      <w:r w:rsidR="00BF2675">
        <w:rPr>
          <w:rFonts w:cs="Tahoma"/>
          <w:bCs/>
        </w:rPr>
        <w:t xml:space="preserve">a hospodářskou </w:t>
      </w:r>
      <w:r w:rsidR="00D50B7C">
        <w:rPr>
          <w:rFonts w:cs="Tahoma"/>
          <w:bCs/>
        </w:rPr>
        <w:t>potřebou</w:t>
      </w:r>
      <w:r w:rsidR="00BF2675">
        <w:rPr>
          <w:rFonts w:cs="Tahoma"/>
          <w:bCs/>
        </w:rPr>
        <w:t xml:space="preserve">, </w:t>
      </w:r>
      <w:r w:rsidR="00551CA6">
        <w:rPr>
          <w:rFonts w:cs="Tahoma"/>
          <w:bCs/>
        </w:rPr>
        <w:t>zcela nezbytn</w:t>
      </w:r>
      <w:r w:rsidR="00BF2675">
        <w:rPr>
          <w:rFonts w:cs="Tahoma"/>
          <w:bCs/>
        </w:rPr>
        <w:t>ou</w:t>
      </w:r>
      <w:r w:rsidR="00551CA6">
        <w:rPr>
          <w:rFonts w:cs="Tahoma"/>
          <w:bCs/>
        </w:rPr>
        <w:t xml:space="preserve"> pro </w:t>
      </w:r>
      <w:r w:rsidR="00BF2675">
        <w:rPr>
          <w:rFonts w:cs="Tahoma"/>
          <w:bCs/>
        </w:rPr>
        <w:t xml:space="preserve">komplexní </w:t>
      </w:r>
      <w:r w:rsidR="00551CA6">
        <w:rPr>
          <w:rFonts w:cs="Tahoma"/>
          <w:bCs/>
        </w:rPr>
        <w:t xml:space="preserve">fungování </w:t>
      </w:r>
      <w:r w:rsidR="00BF2675">
        <w:rPr>
          <w:rFonts w:cs="Tahoma"/>
          <w:bCs/>
        </w:rPr>
        <w:t xml:space="preserve">moderní </w:t>
      </w:r>
      <w:r w:rsidR="00551CA6">
        <w:rPr>
          <w:rFonts w:cs="Tahoma"/>
          <w:bCs/>
        </w:rPr>
        <w:t>společnosti</w:t>
      </w:r>
      <w:r w:rsidR="00D50B7C">
        <w:rPr>
          <w:rFonts w:cs="Tahoma"/>
          <w:bCs/>
        </w:rPr>
        <w:t xml:space="preserve">. </w:t>
      </w:r>
      <w:r>
        <w:rPr>
          <w:rFonts w:cs="Tahoma"/>
          <w:bCs/>
        </w:rPr>
        <w:t>Nemožnost p</w:t>
      </w:r>
      <w:r w:rsidR="00D50B7C">
        <w:rPr>
          <w:rFonts w:cs="Tahoma"/>
          <w:bCs/>
        </w:rPr>
        <w:t>řístup</w:t>
      </w:r>
      <w:r w:rsidR="00BF2675">
        <w:rPr>
          <w:rFonts w:cs="Tahoma"/>
          <w:bCs/>
        </w:rPr>
        <w:t>u</w:t>
      </w:r>
      <w:r w:rsidR="00D50B7C">
        <w:rPr>
          <w:rFonts w:cs="Tahoma"/>
          <w:bCs/>
        </w:rPr>
        <w:t xml:space="preserve"> k</w:t>
      </w:r>
      <w:r>
        <w:rPr>
          <w:rFonts w:cs="Tahoma"/>
          <w:bCs/>
        </w:rPr>
        <w:t> </w:t>
      </w:r>
      <w:r w:rsidR="00D50B7C">
        <w:rPr>
          <w:rFonts w:cs="Tahoma"/>
          <w:bCs/>
        </w:rPr>
        <w:t>ní</w:t>
      </w:r>
      <w:r>
        <w:rPr>
          <w:rFonts w:cs="Tahoma"/>
          <w:bCs/>
        </w:rPr>
        <w:t xml:space="preserve">, </w:t>
      </w:r>
      <w:r w:rsidR="00BF2675">
        <w:rPr>
          <w:rFonts w:cs="Tahoma"/>
          <w:bCs/>
        </w:rPr>
        <w:t xml:space="preserve">ať fyzickým omezením </w:t>
      </w:r>
      <w:r>
        <w:rPr>
          <w:rFonts w:cs="Tahoma"/>
          <w:bCs/>
        </w:rPr>
        <w:t>či uměl</w:t>
      </w:r>
      <w:r w:rsidR="00BF2675">
        <w:rPr>
          <w:rFonts w:cs="Tahoma"/>
          <w:bCs/>
        </w:rPr>
        <w:t xml:space="preserve">ým vyvoláním </w:t>
      </w:r>
      <w:r w:rsidR="00947A70">
        <w:rPr>
          <w:rFonts w:cs="Tahoma"/>
          <w:bCs/>
        </w:rPr>
        <w:t xml:space="preserve">její </w:t>
      </w:r>
      <w:r w:rsidR="00BF2675">
        <w:rPr>
          <w:rFonts w:cs="Tahoma"/>
          <w:bCs/>
        </w:rPr>
        <w:t xml:space="preserve">bezdůvodně vysoké </w:t>
      </w:r>
      <w:r w:rsidR="00551CA6">
        <w:rPr>
          <w:rFonts w:cs="Tahoma"/>
          <w:bCs/>
        </w:rPr>
        <w:t>ceny</w:t>
      </w:r>
      <w:r>
        <w:rPr>
          <w:rFonts w:cs="Tahoma"/>
          <w:bCs/>
        </w:rPr>
        <w:t xml:space="preserve">, znamená zcela zásadní </w:t>
      </w:r>
      <w:r w:rsidR="00BF2675">
        <w:rPr>
          <w:rFonts w:cs="Tahoma"/>
          <w:bCs/>
        </w:rPr>
        <w:t xml:space="preserve">a </w:t>
      </w:r>
      <w:r w:rsidR="00947A70">
        <w:rPr>
          <w:rFonts w:cs="Tahoma"/>
          <w:bCs/>
        </w:rPr>
        <w:t xml:space="preserve">bezprostřední </w:t>
      </w:r>
      <w:r>
        <w:rPr>
          <w:rFonts w:cs="Tahoma"/>
          <w:bCs/>
        </w:rPr>
        <w:t>ohrožení bezpečnosti fyzických a právnických osob</w:t>
      </w:r>
      <w:r w:rsidR="00551CA6">
        <w:rPr>
          <w:rFonts w:cs="Tahoma"/>
          <w:bCs/>
        </w:rPr>
        <w:t xml:space="preserve">, </w:t>
      </w:r>
      <w:r>
        <w:rPr>
          <w:rFonts w:cs="Tahoma"/>
          <w:bCs/>
        </w:rPr>
        <w:t xml:space="preserve">rozvrat </w:t>
      </w:r>
      <w:r w:rsidR="00947A70">
        <w:rPr>
          <w:rFonts w:cs="Tahoma"/>
          <w:bCs/>
        </w:rPr>
        <w:t xml:space="preserve">soukromé a </w:t>
      </w:r>
      <w:r>
        <w:rPr>
          <w:rFonts w:cs="Tahoma"/>
          <w:bCs/>
        </w:rPr>
        <w:t>veřejné infrastruktury</w:t>
      </w:r>
      <w:r w:rsidR="00551CA6">
        <w:rPr>
          <w:rFonts w:cs="Tahoma"/>
          <w:bCs/>
        </w:rPr>
        <w:t xml:space="preserve"> a ve svém důsledku </w:t>
      </w:r>
      <w:r w:rsidR="00947A70">
        <w:rPr>
          <w:rFonts w:cs="Tahoma"/>
          <w:bCs/>
        </w:rPr>
        <w:t xml:space="preserve">i přímý </w:t>
      </w:r>
      <w:r w:rsidR="00551CA6">
        <w:rPr>
          <w:rFonts w:cs="Tahoma"/>
          <w:bCs/>
        </w:rPr>
        <w:t>útok na stabilitu a bezpečnost státu</w:t>
      </w:r>
      <w:r>
        <w:rPr>
          <w:rFonts w:cs="Tahoma"/>
          <w:bCs/>
        </w:rPr>
        <w:t xml:space="preserve">. </w:t>
      </w:r>
      <w:r w:rsidR="00D24705">
        <w:rPr>
          <w:rFonts w:cs="Tahoma"/>
          <w:bCs/>
        </w:rPr>
        <w:t xml:space="preserve"> </w:t>
      </w:r>
    </w:p>
    <w:p w14:paraId="3C48374B" w14:textId="77777777" w:rsidR="00D24705" w:rsidRPr="00D24705" w:rsidRDefault="00D24705" w:rsidP="00D24705">
      <w:pPr>
        <w:pStyle w:val="Odstavecseseznamem"/>
        <w:rPr>
          <w:rFonts w:cs="Tahoma"/>
          <w:bCs/>
        </w:rPr>
      </w:pPr>
    </w:p>
    <w:p w14:paraId="397E1E13" w14:textId="77777777" w:rsidR="00316414" w:rsidRPr="00174B3E" w:rsidRDefault="00316414" w:rsidP="00316414">
      <w:pPr>
        <w:spacing w:after="160" w:line="259" w:lineRule="auto"/>
        <w:jc w:val="both"/>
        <w:rPr>
          <w:rFonts w:cs="Tahoma"/>
          <w:b/>
        </w:rPr>
      </w:pPr>
      <w:r w:rsidRPr="00174B3E">
        <w:rPr>
          <w:rFonts w:cs="Tahoma"/>
          <w:b/>
        </w:rPr>
        <w:t xml:space="preserve">Důkaz: </w:t>
      </w:r>
    </w:p>
    <w:p w14:paraId="365492F9" w14:textId="77777777" w:rsidR="00666123" w:rsidRPr="00136830" w:rsidRDefault="00666123" w:rsidP="00136830">
      <w:pPr>
        <w:pStyle w:val="Odstavecseseznamem"/>
        <w:numPr>
          <w:ilvl w:val="0"/>
          <w:numId w:val="9"/>
        </w:numPr>
        <w:spacing w:after="160" w:line="259" w:lineRule="auto"/>
        <w:jc w:val="both"/>
        <w:rPr>
          <w:rFonts w:cs="Tahoma"/>
          <w:bCs/>
        </w:rPr>
      </w:pPr>
      <w:r w:rsidRPr="00136830">
        <w:rPr>
          <w:rFonts w:cs="Tahoma"/>
          <w:bCs/>
        </w:rPr>
        <w:t>Výročními zprávami společnosti ČEZ</w:t>
      </w:r>
    </w:p>
    <w:p w14:paraId="65972CA7" w14:textId="77777777" w:rsidR="00666123" w:rsidRPr="00136830" w:rsidRDefault="00666123" w:rsidP="00136830">
      <w:pPr>
        <w:pStyle w:val="Odstavecseseznamem"/>
        <w:numPr>
          <w:ilvl w:val="0"/>
          <w:numId w:val="9"/>
        </w:numPr>
        <w:spacing w:after="160" w:line="259" w:lineRule="auto"/>
        <w:jc w:val="both"/>
        <w:rPr>
          <w:rFonts w:cs="Tahoma"/>
          <w:bCs/>
        </w:rPr>
      </w:pPr>
      <w:r w:rsidRPr="00136830">
        <w:rPr>
          <w:rFonts w:cs="Tahoma"/>
          <w:bCs/>
        </w:rPr>
        <w:t>Tiskov</w:t>
      </w:r>
      <w:r w:rsidR="005F1D7F">
        <w:rPr>
          <w:rFonts w:cs="Tahoma"/>
          <w:bCs/>
        </w:rPr>
        <w:t>ým</w:t>
      </w:r>
      <w:r w:rsidRPr="00136830">
        <w:rPr>
          <w:rFonts w:cs="Tahoma"/>
          <w:bCs/>
        </w:rPr>
        <w:t xml:space="preserve"> oznámení</w:t>
      </w:r>
      <w:r w:rsidR="005F1D7F">
        <w:rPr>
          <w:rFonts w:cs="Tahoma"/>
          <w:bCs/>
        </w:rPr>
        <w:t>m</w:t>
      </w:r>
      <w:r w:rsidRPr="00136830">
        <w:rPr>
          <w:rFonts w:cs="Tahoma"/>
          <w:bCs/>
        </w:rPr>
        <w:t xml:space="preserve"> skupiny ČEZ ze dne 10. 5. 2022</w:t>
      </w:r>
    </w:p>
    <w:p w14:paraId="7398E678" w14:textId="77777777" w:rsidR="00666123" w:rsidRPr="00136830" w:rsidRDefault="00666123" w:rsidP="00136830">
      <w:pPr>
        <w:pStyle w:val="Odstavecseseznamem"/>
        <w:numPr>
          <w:ilvl w:val="0"/>
          <w:numId w:val="9"/>
        </w:numPr>
        <w:spacing w:after="160" w:line="259" w:lineRule="auto"/>
        <w:jc w:val="both"/>
        <w:rPr>
          <w:rFonts w:cs="Tahoma"/>
          <w:bCs/>
        </w:rPr>
      </w:pPr>
      <w:r w:rsidRPr="00136830">
        <w:rPr>
          <w:rFonts w:cs="Tahoma"/>
          <w:bCs/>
        </w:rPr>
        <w:t xml:space="preserve">Smlouvou o úvěru mezi </w:t>
      </w:r>
      <w:r w:rsidR="00BF2675" w:rsidRPr="00136830">
        <w:rPr>
          <w:rFonts w:cs="Tahoma"/>
          <w:bCs/>
        </w:rPr>
        <w:t xml:space="preserve">Českou republikou – Ministerstvem financí a společností ČEZ ze dne </w:t>
      </w:r>
      <w:r w:rsidR="00947A70" w:rsidRPr="00136830">
        <w:rPr>
          <w:rFonts w:cs="Tahoma"/>
          <w:bCs/>
        </w:rPr>
        <w:t>8. července 2022</w:t>
      </w:r>
    </w:p>
    <w:p w14:paraId="4BCE87B3" w14:textId="77777777" w:rsidR="00316414" w:rsidRPr="00316414" w:rsidRDefault="00316414" w:rsidP="00316414">
      <w:pPr>
        <w:spacing w:after="160" w:line="259" w:lineRule="auto"/>
        <w:jc w:val="center"/>
        <w:rPr>
          <w:rFonts w:cs="Tahoma"/>
          <w:b/>
        </w:rPr>
      </w:pPr>
    </w:p>
    <w:p w14:paraId="4D38AC7A" w14:textId="77777777" w:rsidR="00316414" w:rsidRPr="00316414" w:rsidRDefault="00D24705" w:rsidP="00316414">
      <w:pPr>
        <w:spacing w:after="160" w:line="259" w:lineRule="auto"/>
        <w:jc w:val="center"/>
        <w:rPr>
          <w:rFonts w:cs="Tahoma"/>
          <w:b/>
        </w:rPr>
      </w:pPr>
      <w:r>
        <w:rPr>
          <w:rFonts w:cs="Tahoma"/>
          <w:b/>
        </w:rPr>
        <w:t>III</w:t>
      </w:r>
      <w:r w:rsidR="00316414" w:rsidRPr="00316414">
        <w:rPr>
          <w:rFonts w:cs="Tahoma"/>
          <w:b/>
        </w:rPr>
        <w:t>.</w:t>
      </w:r>
    </w:p>
    <w:p w14:paraId="123DA4FB" w14:textId="77777777" w:rsidR="00853F60" w:rsidRDefault="00316414" w:rsidP="00A37305">
      <w:pPr>
        <w:spacing w:after="160" w:line="259" w:lineRule="auto"/>
        <w:jc w:val="center"/>
        <w:rPr>
          <w:rFonts w:cs="Tahoma"/>
          <w:b/>
          <w:u w:val="single"/>
        </w:rPr>
      </w:pPr>
      <w:r w:rsidRPr="00316414">
        <w:rPr>
          <w:rFonts w:cs="Tahoma"/>
          <w:b/>
          <w:u w:val="single"/>
        </w:rPr>
        <w:t>Právní kvalifikace:</w:t>
      </w:r>
    </w:p>
    <w:p w14:paraId="61EEF0CC" w14:textId="77777777" w:rsidR="00BD45C0" w:rsidRPr="00BD45C0" w:rsidRDefault="00BD45C0" w:rsidP="006C676C">
      <w:pPr>
        <w:spacing w:after="0" w:line="240" w:lineRule="auto"/>
        <w:jc w:val="center"/>
        <w:rPr>
          <w:rFonts w:eastAsia="Calibri" w:cstheme="minorHAnsi"/>
          <w:lang w:eastAsia="cs-CZ"/>
        </w:rPr>
      </w:pPr>
      <w:bookmarkStart w:id="2" w:name="pf311"/>
      <w:bookmarkStart w:id="3" w:name="_Hlk76288901"/>
      <w:r w:rsidRPr="00BD45C0">
        <w:rPr>
          <w:rFonts w:eastAsia="Calibri" w:cstheme="minorHAnsi"/>
          <w:b/>
          <w:lang w:eastAsia="cs-CZ"/>
        </w:rPr>
        <w:t>§ 311</w:t>
      </w:r>
    </w:p>
    <w:p w14:paraId="2698A41E" w14:textId="77777777" w:rsidR="00BD45C0" w:rsidRPr="00BD45C0" w:rsidRDefault="00BD45C0" w:rsidP="006C676C">
      <w:pPr>
        <w:spacing w:after="0" w:line="240" w:lineRule="auto"/>
        <w:jc w:val="center"/>
        <w:rPr>
          <w:rFonts w:eastAsia="Calibri" w:cstheme="minorHAnsi"/>
          <w:lang w:eastAsia="cs-CZ"/>
        </w:rPr>
      </w:pPr>
      <w:r w:rsidRPr="00BD45C0">
        <w:rPr>
          <w:rFonts w:eastAsia="Calibri" w:cstheme="minorHAnsi"/>
          <w:b/>
          <w:color w:val="000000"/>
          <w:lang w:eastAsia="cs-CZ"/>
        </w:rPr>
        <w:t>Teroristický útok</w:t>
      </w:r>
    </w:p>
    <w:tbl>
      <w:tblPr>
        <w:tblW w:w="0" w:type="auto"/>
        <w:tblCellSpacing w:w="0" w:type="dxa"/>
        <w:tblLook w:val="04A0" w:firstRow="1" w:lastRow="0" w:firstColumn="1" w:lastColumn="0" w:noHBand="0" w:noVBand="1"/>
      </w:tblPr>
      <w:tblGrid>
        <w:gridCol w:w="433"/>
        <w:gridCol w:w="8639"/>
      </w:tblGrid>
      <w:tr w:rsidR="00BD45C0" w:rsidRPr="00BD45C0" w14:paraId="07A9671E" w14:textId="77777777" w:rsidTr="00D719AE">
        <w:trPr>
          <w:trHeight w:val="30"/>
          <w:tblCellSpacing w:w="0" w:type="dxa"/>
        </w:trPr>
        <w:tc>
          <w:tcPr>
            <w:tcW w:w="640" w:type="dxa"/>
            <w:tcMar>
              <w:top w:w="30" w:type="dxa"/>
              <w:left w:w="15" w:type="dxa"/>
              <w:bottom w:w="15" w:type="dxa"/>
              <w:right w:w="15" w:type="dxa"/>
            </w:tcMar>
          </w:tcPr>
          <w:bookmarkEnd w:id="2"/>
          <w:p w14:paraId="48DCDCDA" w14:textId="77777777" w:rsidR="00BD45C0" w:rsidRPr="00BD45C0" w:rsidRDefault="00BD45C0" w:rsidP="006C676C">
            <w:pPr>
              <w:spacing w:after="0" w:line="240" w:lineRule="auto"/>
              <w:rPr>
                <w:rFonts w:eastAsia="Calibri" w:cstheme="minorHAnsi"/>
                <w:lang w:eastAsia="cs-CZ"/>
              </w:rPr>
            </w:pPr>
            <w:r w:rsidRPr="00BD45C0">
              <w:rPr>
                <w:rFonts w:eastAsia="Calibri" w:cstheme="minorHAnsi"/>
                <w:b/>
                <w:color w:val="000000"/>
                <w:lang w:eastAsia="cs-CZ"/>
              </w:rPr>
              <w:t>(1)</w:t>
            </w:r>
          </w:p>
        </w:tc>
        <w:tc>
          <w:tcPr>
            <w:tcW w:w="17335" w:type="dxa"/>
            <w:tcMar>
              <w:top w:w="30" w:type="dxa"/>
              <w:left w:w="60" w:type="dxa"/>
              <w:bottom w:w="15" w:type="dxa"/>
              <w:right w:w="15" w:type="dxa"/>
            </w:tcMar>
            <w:vAlign w:val="center"/>
          </w:tcPr>
          <w:p w14:paraId="5C117BBF" w14:textId="77777777" w:rsidR="00BD45C0" w:rsidRPr="00BD45C0" w:rsidRDefault="00BD45C0" w:rsidP="006C676C">
            <w:pPr>
              <w:spacing w:after="0" w:line="240" w:lineRule="auto"/>
              <w:ind w:left="60"/>
              <w:jc w:val="both"/>
              <w:rPr>
                <w:rFonts w:eastAsia="Calibri" w:cstheme="minorHAnsi"/>
                <w:u w:val="single"/>
                <w:lang w:eastAsia="cs-CZ"/>
              </w:rPr>
            </w:pPr>
            <w:r w:rsidRPr="00BD45C0">
              <w:rPr>
                <w:rFonts w:eastAsia="Calibri" w:cstheme="minorHAnsi"/>
                <w:color w:val="444444"/>
                <w:u w:val="single"/>
                <w:lang w:eastAsia="cs-CZ"/>
              </w:rPr>
              <w:t>Kdo v úmyslu poškodit ústavní zřízení nebo obranyschopnost České republiky, narušit nebo zničit základní politickou, hospodářskou nebo sociální strukturu České republiky nebo mezinárodní organizace, závažným způsobem zastrašit obyvatelstvo nebo protiprávně přinutit vládu nebo jiný orgán veřejné moci nebo mezinárodní organizaci, aby něco konala, opominula nebo trpěla</w:t>
            </w:r>
            <w:r w:rsidRPr="00BD45C0">
              <w:rPr>
                <w:rFonts w:eastAsia="Calibri" w:cstheme="minorHAnsi"/>
                <w:color w:val="444444"/>
                <w:lang w:eastAsia="cs-CZ"/>
              </w:rPr>
              <w:t>,</w:t>
            </w:r>
          </w:p>
          <w:tbl>
            <w:tblPr>
              <w:tblW w:w="0" w:type="auto"/>
              <w:tblCellSpacing w:w="0" w:type="dxa"/>
              <w:tblLook w:val="04A0" w:firstRow="1" w:lastRow="0" w:firstColumn="1" w:lastColumn="0" w:noHBand="0" w:noVBand="1"/>
            </w:tblPr>
            <w:tblGrid>
              <w:gridCol w:w="398"/>
              <w:gridCol w:w="8166"/>
            </w:tblGrid>
            <w:tr w:rsidR="00BD45C0" w:rsidRPr="00BD45C0" w14:paraId="30DF45C6" w14:textId="77777777" w:rsidTr="00D719AE">
              <w:trPr>
                <w:trHeight w:val="30"/>
                <w:tblCellSpacing w:w="0" w:type="dxa"/>
              </w:trPr>
              <w:tc>
                <w:tcPr>
                  <w:tcW w:w="640" w:type="dxa"/>
                  <w:tcMar>
                    <w:top w:w="30" w:type="dxa"/>
                    <w:left w:w="15" w:type="dxa"/>
                    <w:bottom w:w="15" w:type="dxa"/>
                    <w:right w:w="15" w:type="dxa"/>
                  </w:tcMar>
                </w:tcPr>
                <w:p w14:paraId="25C54573" w14:textId="77777777" w:rsidR="00BD45C0" w:rsidRPr="00BD45C0" w:rsidRDefault="00BD45C0" w:rsidP="006C676C">
                  <w:pPr>
                    <w:spacing w:after="0" w:line="240" w:lineRule="auto"/>
                    <w:rPr>
                      <w:rFonts w:eastAsia="Calibri" w:cstheme="minorHAnsi"/>
                      <w:lang w:eastAsia="cs-CZ"/>
                    </w:rPr>
                  </w:pPr>
                  <w:r w:rsidRPr="00BD45C0">
                    <w:rPr>
                      <w:rFonts w:eastAsia="Calibri" w:cstheme="minorHAnsi"/>
                      <w:b/>
                      <w:color w:val="000000"/>
                      <w:lang w:eastAsia="cs-CZ"/>
                    </w:rPr>
                    <w:t>a)</w:t>
                  </w:r>
                </w:p>
              </w:tc>
              <w:tc>
                <w:tcPr>
                  <w:tcW w:w="16615" w:type="dxa"/>
                  <w:tcMar>
                    <w:top w:w="30" w:type="dxa"/>
                    <w:left w:w="60" w:type="dxa"/>
                    <w:bottom w:w="15" w:type="dxa"/>
                    <w:right w:w="15" w:type="dxa"/>
                  </w:tcMar>
                  <w:vAlign w:val="center"/>
                </w:tcPr>
                <w:p w14:paraId="1C06184F" w14:textId="77777777" w:rsidR="00BD45C0" w:rsidRPr="00BD45C0" w:rsidRDefault="00BD45C0" w:rsidP="006C676C">
                  <w:pPr>
                    <w:spacing w:after="0" w:line="240" w:lineRule="auto"/>
                    <w:ind w:left="120"/>
                    <w:jc w:val="both"/>
                    <w:rPr>
                      <w:rFonts w:eastAsia="Calibri" w:cstheme="minorHAnsi"/>
                      <w:lang w:eastAsia="cs-CZ"/>
                    </w:rPr>
                  </w:pPr>
                  <w:r w:rsidRPr="00BD45C0">
                    <w:rPr>
                      <w:rFonts w:eastAsia="Calibri" w:cstheme="minorHAnsi"/>
                      <w:color w:val="444444"/>
                      <w:lang w:eastAsia="cs-CZ"/>
                    </w:rPr>
                    <w:t xml:space="preserve">zničí nebo poškodí ve větší míře veřejné prostranství, majetek nebo veřejné zařízení, dopravní nebo telekomunikační systém, pevnou plošinu na pevninské mělčině, </w:t>
                  </w:r>
                  <w:r w:rsidRPr="00BD45C0">
                    <w:rPr>
                      <w:rFonts w:eastAsia="Calibri" w:cstheme="minorHAnsi"/>
                      <w:color w:val="444444"/>
                      <w:lang w:eastAsia="cs-CZ"/>
                    </w:rPr>
                    <w:lastRenderedPageBreak/>
                    <w:t>energetické, vodárenské, zdravotnické nebo jiné důležité zařízení, včetně počítačového systému, na jehož fungování takové zařízení, systém nebo plošina závisejí, s cílem vydat majetek v nebezpečí škody velkého rozsahu,</w:t>
                  </w:r>
                </w:p>
              </w:tc>
            </w:tr>
            <w:tr w:rsidR="00BD45C0" w:rsidRPr="00BD45C0" w14:paraId="7BA2B836" w14:textId="77777777" w:rsidTr="00D719AE">
              <w:trPr>
                <w:trHeight w:val="30"/>
                <w:tblCellSpacing w:w="0" w:type="dxa"/>
              </w:trPr>
              <w:tc>
                <w:tcPr>
                  <w:tcW w:w="640" w:type="dxa"/>
                  <w:tcMar>
                    <w:top w:w="30" w:type="dxa"/>
                    <w:left w:w="15" w:type="dxa"/>
                    <w:bottom w:w="15" w:type="dxa"/>
                    <w:right w:w="15" w:type="dxa"/>
                  </w:tcMar>
                </w:tcPr>
                <w:p w14:paraId="008483D1" w14:textId="77777777" w:rsidR="00BD45C0" w:rsidRPr="00BD45C0" w:rsidRDefault="00BD45C0" w:rsidP="006C676C">
                  <w:pPr>
                    <w:spacing w:after="0" w:line="240" w:lineRule="auto"/>
                    <w:rPr>
                      <w:rFonts w:eastAsia="Calibri" w:cstheme="minorHAnsi"/>
                      <w:lang w:eastAsia="cs-CZ"/>
                    </w:rPr>
                  </w:pPr>
                  <w:r w:rsidRPr="00BD45C0">
                    <w:rPr>
                      <w:rFonts w:eastAsia="Calibri" w:cstheme="minorHAnsi"/>
                      <w:b/>
                      <w:color w:val="000000"/>
                      <w:lang w:eastAsia="cs-CZ"/>
                    </w:rPr>
                    <w:lastRenderedPageBreak/>
                    <w:t>b)</w:t>
                  </w:r>
                </w:p>
              </w:tc>
              <w:tc>
                <w:tcPr>
                  <w:tcW w:w="16615" w:type="dxa"/>
                  <w:tcMar>
                    <w:top w:w="30" w:type="dxa"/>
                    <w:left w:w="60" w:type="dxa"/>
                    <w:bottom w:w="15" w:type="dxa"/>
                    <w:right w:w="15" w:type="dxa"/>
                  </w:tcMar>
                  <w:vAlign w:val="center"/>
                </w:tcPr>
                <w:p w14:paraId="76C195F4" w14:textId="77777777" w:rsidR="00BD45C0" w:rsidRPr="00BD45C0" w:rsidRDefault="00BD45C0" w:rsidP="006C676C">
                  <w:pPr>
                    <w:spacing w:after="0" w:line="240" w:lineRule="auto"/>
                    <w:ind w:left="120"/>
                    <w:jc w:val="both"/>
                    <w:rPr>
                      <w:rFonts w:eastAsia="Calibri" w:cstheme="minorHAnsi"/>
                      <w:lang w:eastAsia="cs-CZ"/>
                    </w:rPr>
                  </w:pPr>
                  <w:r w:rsidRPr="00BD45C0">
                    <w:rPr>
                      <w:rFonts w:eastAsia="Calibri" w:cstheme="minorHAnsi"/>
                      <w:color w:val="444444"/>
                      <w:u w:val="single"/>
                      <w:lang w:eastAsia="cs-CZ"/>
                    </w:rPr>
                    <w:t>naruší nebo přeruší dodávku vody, elektrické energie nebo jiného základního přírodního zdroje s cílem vydat majetek v nebezpečí škody velkého rozsahu</w:t>
                  </w:r>
                  <w:r w:rsidRPr="00BD45C0">
                    <w:rPr>
                      <w:rFonts w:eastAsia="Calibri" w:cstheme="minorHAnsi"/>
                      <w:color w:val="444444"/>
                      <w:lang w:eastAsia="cs-CZ"/>
                    </w:rPr>
                    <w:t>,</w:t>
                  </w:r>
                </w:p>
              </w:tc>
            </w:tr>
            <w:tr w:rsidR="00BD45C0" w:rsidRPr="00BD45C0" w14:paraId="7F08A915" w14:textId="77777777" w:rsidTr="00D719AE">
              <w:trPr>
                <w:trHeight w:val="30"/>
                <w:tblCellSpacing w:w="0" w:type="dxa"/>
              </w:trPr>
              <w:tc>
                <w:tcPr>
                  <w:tcW w:w="640" w:type="dxa"/>
                  <w:tcMar>
                    <w:top w:w="30" w:type="dxa"/>
                    <w:left w:w="15" w:type="dxa"/>
                    <w:bottom w:w="15" w:type="dxa"/>
                    <w:right w:w="15" w:type="dxa"/>
                  </w:tcMar>
                </w:tcPr>
                <w:p w14:paraId="2C81DDB0" w14:textId="77777777" w:rsidR="00BD45C0" w:rsidRPr="00BD45C0" w:rsidRDefault="00BD45C0" w:rsidP="006C676C">
                  <w:pPr>
                    <w:spacing w:after="0" w:line="240" w:lineRule="auto"/>
                    <w:rPr>
                      <w:rFonts w:eastAsia="Calibri" w:cstheme="minorHAnsi"/>
                      <w:lang w:eastAsia="cs-CZ"/>
                    </w:rPr>
                  </w:pPr>
                  <w:r w:rsidRPr="00BD45C0">
                    <w:rPr>
                      <w:rFonts w:eastAsia="Calibri" w:cstheme="minorHAnsi"/>
                      <w:b/>
                      <w:color w:val="000000"/>
                      <w:lang w:eastAsia="cs-CZ"/>
                    </w:rPr>
                    <w:t>c)</w:t>
                  </w:r>
                </w:p>
              </w:tc>
              <w:tc>
                <w:tcPr>
                  <w:tcW w:w="16615" w:type="dxa"/>
                  <w:tcMar>
                    <w:top w:w="30" w:type="dxa"/>
                    <w:left w:w="60" w:type="dxa"/>
                    <w:bottom w:w="15" w:type="dxa"/>
                    <w:right w:w="15" w:type="dxa"/>
                  </w:tcMar>
                  <w:vAlign w:val="center"/>
                </w:tcPr>
                <w:p w14:paraId="0D227C56" w14:textId="77777777" w:rsidR="00BD45C0" w:rsidRPr="00BD45C0" w:rsidRDefault="00BD45C0" w:rsidP="006C676C">
                  <w:pPr>
                    <w:spacing w:after="0" w:line="240" w:lineRule="auto"/>
                    <w:ind w:left="120"/>
                    <w:jc w:val="both"/>
                    <w:rPr>
                      <w:rFonts w:eastAsia="Calibri" w:cstheme="minorHAnsi"/>
                      <w:lang w:eastAsia="cs-CZ"/>
                    </w:rPr>
                  </w:pPr>
                  <w:r w:rsidRPr="00BD45C0">
                    <w:rPr>
                      <w:rFonts w:eastAsia="Calibri" w:cstheme="minorHAnsi"/>
                      <w:color w:val="444444"/>
                      <w:lang w:eastAsia="cs-CZ"/>
                    </w:rPr>
                    <w:t>zmocní se letadla, lodi, jiného prostředku osobní či nákladní dopravy nebo pevné plošiny na pevninské mělčině nebo nad takovým dopravním prostředkem nebo pevnou plošinou vykonává kontrolu anebo zničí nebo vážně poškodí navigační zařízení nebo ve větším rozsahu zasahuje do jeho provozu anebo sdělí důležitou nepravdivou informaci, čímž vydá majetek v nebezpečí škody velkého rozsahu,</w:t>
                  </w:r>
                </w:p>
              </w:tc>
            </w:tr>
            <w:tr w:rsidR="00BD45C0" w:rsidRPr="00BD45C0" w14:paraId="6679AA4C" w14:textId="77777777" w:rsidTr="00D719AE">
              <w:trPr>
                <w:trHeight w:val="30"/>
                <w:tblCellSpacing w:w="0" w:type="dxa"/>
              </w:trPr>
              <w:tc>
                <w:tcPr>
                  <w:tcW w:w="640" w:type="dxa"/>
                  <w:tcMar>
                    <w:top w:w="30" w:type="dxa"/>
                    <w:left w:w="15" w:type="dxa"/>
                    <w:bottom w:w="15" w:type="dxa"/>
                    <w:right w:w="15" w:type="dxa"/>
                  </w:tcMar>
                </w:tcPr>
                <w:p w14:paraId="0A4B9387" w14:textId="77777777" w:rsidR="00BD45C0" w:rsidRPr="00BD45C0" w:rsidRDefault="00BD45C0" w:rsidP="006C676C">
                  <w:pPr>
                    <w:spacing w:after="0" w:line="240" w:lineRule="auto"/>
                    <w:rPr>
                      <w:rFonts w:eastAsia="Calibri" w:cstheme="minorHAnsi"/>
                      <w:lang w:eastAsia="cs-CZ"/>
                    </w:rPr>
                  </w:pPr>
                  <w:r w:rsidRPr="00BD45C0">
                    <w:rPr>
                      <w:rFonts w:eastAsia="Calibri" w:cstheme="minorHAnsi"/>
                      <w:b/>
                      <w:color w:val="000000"/>
                      <w:lang w:eastAsia="cs-CZ"/>
                    </w:rPr>
                    <w:t>d)</w:t>
                  </w:r>
                </w:p>
              </w:tc>
              <w:tc>
                <w:tcPr>
                  <w:tcW w:w="16615" w:type="dxa"/>
                  <w:tcMar>
                    <w:top w:w="30" w:type="dxa"/>
                    <w:left w:w="60" w:type="dxa"/>
                    <w:bottom w:w="15" w:type="dxa"/>
                    <w:right w:w="15" w:type="dxa"/>
                  </w:tcMar>
                  <w:vAlign w:val="center"/>
                </w:tcPr>
                <w:p w14:paraId="10675021" w14:textId="77777777" w:rsidR="00BD45C0" w:rsidRPr="00BD45C0" w:rsidRDefault="00BD45C0" w:rsidP="006C676C">
                  <w:pPr>
                    <w:spacing w:after="0" w:line="240" w:lineRule="auto"/>
                    <w:ind w:left="120"/>
                    <w:jc w:val="both"/>
                    <w:rPr>
                      <w:rFonts w:eastAsia="Calibri" w:cstheme="minorHAnsi"/>
                      <w:lang w:eastAsia="cs-CZ"/>
                    </w:rPr>
                  </w:pPr>
                  <w:r w:rsidRPr="00BD45C0">
                    <w:rPr>
                      <w:rFonts w:eastAsia="Calibri" w:cstheme="minorHAnsi"/>
                      <w:color w:val="444444"/>
                      <w:lang w:eastAsia="cs-CZ"/>
                    </w:rPr>
                    <w:t>vydá cizí majetek v nebezpečí škody velkého rozsahu tím, že způsobí požár nebo povodeň nebo škodlivý účinek výbušnin, plynu, elektřiny nebo jiných podobně nebezpečných látek nebo sil nebo se dopustí jiného podobného nebezpečného jednání, nebo takové nebezpečí zvýší nebo ztíží jeho odvrácení nebo zmírnění, nebo</w:t>
                  </w:r>
                </w:p>
              </w:tc>
            </w:tr>
            <w:tr w:rsidR="00BD45C0" w:rsidRPr="00BD45C0" w14:paraId="25FD10B7" w14:textId="77777777" w:rsidTr="00D719AE">
              <w:trPr>
                <w:trHeight w:val="30"/>
                <w:tblCellSpacing w:w="0" w:type="dxa"/>
              </w:trPr>
              <w:tc>
                <w:tcPr>
                  <w:tcW w:w="640" w:type="dxa"/>
                  <w:tcMar>
                    <w:top w:w="30" w:type="dxa"/>
                    <w:left w:w="15" w:type="dxa"/>
                    <w:bottom w:w="15" w:type="dxa"/>
                    <w:right w:w="15" w:type="dxa"/>
                  </w:tcMar>
                </w:tcPr>
                <w:p w14:paraId="64871B2C" w14:textId="77777777" w:rsidR="00BD45C0" w:rsidRPr="00BD45C0" w:rsidRDefault="00BD45C0" w:rsidP="006C676C">
                  <w:pPr>
                    <w:spacing w:after="0" w:line="240" w:lineRule="auto"/>
                    <w:rPr>
                      <w:rFonts w:eastAsia="Calibri" w:cstheme="minorHAnsi"/>
                      <w:lang w:eastAsia="cs-CZ"/>
                    </w:rPr>
                  </w:pPr>
                  <w:r w:rsidRPr="00BD45C0">
                    <w:rPr>
                      <w:rFonts w:eastAsia="Calibri" w:cstheme="minorHAnsi"/>
                      <w:b/>
                      <w:color w:val="000000"/>
                      <w:lang w:eastAsia="cs-CZ"/>
                    </w:rPr>
                    <w:t>e)</w:t>
                  </w:r>
                </w:p>
              </w:tc>
              <w:tc>
                <w:tcPr>
                  <w:tcW w:w="16615" w:type="dxa"/>
                  <w:tcMar>
                    <w:top w:w="30" w:type="dxa"/>
                    <w:left w:w="60" w:type="dxa"/>
                    <w:bottom w:w="15" w:type="dxa"/>
                    <w:right w:w="15" w:type="dxa"/>
                  </w:tcMar>
                  <w:vAlign w:val="center"/>
                </w:tcPr>
                <w:p w14:paraId="2E2A409A" w14:textId="77777777" w:rsidR="00BD45C0" w:rsidRPr="00BD45C0" w:rsidRDefault="00BD45C0" w:rsidP="006C676C">
                  <w:pPr>
                    <w:spacing w:after="0" w:line="240" w:lineRule="auto"/>
                    <w:ind w:left="120"/>
                    <w:jc w:val="both"/>
                    <w:rPr>
                      <w:rFonts w:eastAsia="Calibri" w:cstheme="minorHAnsi"/>
                      <w:lang w:eastAsia="cs-CZ"/>
                    </w:rPr>
                  </w:pPr>
                  <w:r w:rsidRPr="00BD45C0">
                    <w:rPr>
                      <w:rFonts w:eastAsia="Calibri" w:cstheme="minorHAnsi"/>
                      <w:color w:val="444444"/>
                      <w:lang w:eastAsia="cs-CZ"/>
                    </w:rPr>
                    <w:t>vložením nebo přenosem dat do počítačového systému nebo na nosič informací, učiněním jiného zásahu do programového nebo technického vybavení počítačového systému nebo jiného technického zařízení pro zpracování dat anebo vymazáním nebo jiným zničením, poškozením, změněním nebo potlačením dat uložených v počítačovém systému nebo na nosiči informací, snížením jejich kvality nebo učiněním jich neupotřebitelnými provede útok proti počítačovému systému, jehož narušení by mělo závažný dopad na fungování státu, zdraví osob, bezpečnost, hospodářství nebo zajištění základních životních potřeb obyvatel, útok s dopadem na větší počet počítačových systémů s využitím počítačového programu vytvořeného nebo přizpůsobeného pro takový útok anebo útok, kterým způsobí značnou škodu,</w:t>
                  </w:r>
                </w:p>
              </w:tc>
            </w:tr>
          </w:tbl>
          <w:p w14:paraId="7876FBDE" w14:textId="77777777" w:rsidR="00BD45C0" w:rsidRPr="00BD45C0" w:rsidRDefault="00BD45C0" w:rsidP="006C676C">
            <w:pPr>
              <w:spacing w:after="0" w:line="240" w:lineRule="auto"/>
              <w:ind w:left="60"/>
              <w:jc w:val="both"/>
              <w:rPr>
                <w:rFonts w:eastAsia="Calibri" w:cstheme="minorHAnsi"/>
                <w:lang w:eastAsia="cs-CZ"/>
              </w:rPr>
            </w:pPr>
            <w:r w:rsidRPr="00BD45C0">
              <w:rPr>
                <w:rFonts w:eastAsia="Calibri" w:cstheme="minorHAnsi"/>
                <w:color w:val="444444"/>
                <w:lang w:eastAsia="cs-CZ"/>
              </w:rPr>
              <w:t>bude potrestán odnětím svobody na tři až dvanáct let, popřípadě vedle tohoto trestu též propadnutím majetku.</w:t>
            </w:r>
          </w:p>
        </w:tc>
      </w:tr>
      <w:tr w:rsidR="00BD45C0" w:rsidRPr="00BD45C0" w14:paraId="1F267B45" w14:textId="77777777" w:rsidTr="00D719AE">
        <w:trPr>
          <w:trHeight w:val="30"/>
          <w:tblCellSpacing w:w="0" w:type="dxa"/>
        </w:trPr>
        <w:tc>
          <w:tcPr>
            <w:tcW w:w="640" w:type="dxa"/>
            <w:tcMar>
              <w:top w:w="30" w:type="dxa"/>
              <w:left w:w="15" w:type="dxa"/>
              <w:bottom w:w="15" w:type="dxa"/>
              <w:right w:w="15" w:type="dxa"/>
            </w:tcMar>
          </w:tcPr>
          <w:p w14:paraId="08E599EE" w14:textId="77777777" w:rsidR="00BD45C0" w:rsidRPr="00BD45C0" w:rsidRDefault="00BD45C0" w:rsidP="006C676C">
            <w:pPr>
              <w:spacing w:after="0" w:line="240" w:lineRule="auto"/>
              <w:rPr>
                <w:rFonts w:eastAsia="Calibri" w:cstheme="minorHAnsi"/>
                <w:lang w:eastAsia="cs-CZ"/>
              </w:rPr>
            </w:pPr>
            <w:r w:rsidRPr="00BD45C0">
              <w:rPr>
                <w:rFonts w:eastAsia="Calibri" w:cstheme="minorHAnsi"/>
                <w:b/>
                <w:color w:val="000000"/>
                <w:lang w:eastAsia="cs-CZ"/>
              </w:rPr>
              <w:lastRenderedPageBreak/>
              <w:t>(2)</w:t>
            </w:r>
          </w:p>
        </w:tc>
        <w:tc>
          <w:tcPr>
            <w:tcW w:w="17335" w:type="dxa"/>
            <w:tcMar>
              <w:top w:w="30" w:type="dxa"/>
              <w:left w:w="60" w:type="dxa"/>
              <w:bottom w:w="15" w:type="dxa"/>
              <w:right w:w="15" w:type="dxa"/>
            </w:tcMar>
            <w:vAlign w:val="center"/>
          </w:tcPr>
          <w:p w14:paraId="6B4F037E" w14:textId="77777777" w:rsidR="00BD45C0" w:rsidRPr="00BD45C0" w:rsidRDefault="00BD45C0" w:rsidP="006C676C">
            <w:pPr>
              <w:spacing w:after="0" w:line="240" w:lineRule="auto"/>
              <w:ind w:left="60"/>
              <w:jc w:val="both"/>
              <w:rPr>
                <w:rFonts w:eastAsia="Calibri" w:cstheme="minorHAnsi"/>
                <w:lang w:eastAsia="cs-CZ"/>
              </w:rPr>
            </w:pPr>
            <w:r w:rsidRPr="00BD45C0">
              <w:rPr>
                <w:rFonts w:eastAsia="Calibri" w:cstheme="minorHAnsi"/>
                <w:color w:val="444444"/>
                <w:lang w:eastAsia="cs-CZ"/>
              </w:rPr>
              <w:t>Kdo v úmyslu poškodit ústavní zřízení nebo obranyschopnost České republiky, narušit nebo zničit základní politickou, hospodářskou nebo sociální strukturu České republiky nebo mezinárodní organizace, závažným způsobem zastrašit obyvatelstvo nebo protiprávně přinutit vládu nebo jiný orgán veřejné moci nebo mezinárodní organizaci, aby něco konala, opominula nebo trpěla,</w:t>
            </w:r>
          </w:p>
          <w:tbl>
            <w:tblPr>
              <w:tblW w:w="0" w:type="auto"/>
              <w:tblCellSpacing w:w="0" w:type="dxa"/>
              <w:tblLook w:val="04A0" w:firstRow="1" w:lastRow="0" w:firstColumn="1" w:lastColumn="0" w:noHBand="0" w:noVBand="1"/>
            </w:tblPr>
            <w:tblGrid>
              <w:gridCol w:w="401"/>
              <w:gridCol w:w="8163"/>
            </w:tblGrid>
            <w:tr w:rsidR="00BD45C0" w:rsidRPr="00BD45C0" w14:paraId="713796F8" w14:textId="77777777" w:rsidTr="00D719AE">
              <w:trPr>
                <w:trHeight w:val="30"/>
                <w:tblCellSpacing w:w="0" w:type="dxa"/>
              </w:trPr>
              <w:tc>
                <w:tcPr>
                  <w:tcW w:w="640" w:type="dxa"/>
                  <w:tcMar>
                    <w:top w:w="30" w:type="dxa"/>
                    <w:left w:w="15" w:type="dxa"/>
                    <w:bottom w:w="15" w:type="dxa"/>
                    <w:right w:w="15" w:type="dxa"/>
                  </w:tcMar>
                </w:tcPr>
                <w:p w14:paraId="5145F647" w14:textId="77777777" w:rsidR="00BD45C0" w:rsidRPr="00BD45C0" w:rsidRDefault="00BD45C0" w:rsidP="006C676C">
                  <w:pPr>
                    <w:spacing w:after="0" w:line="240" w:lineRule="auto"/>
                    <w:rPr>
                      <w:rFonts w:eastAsia="Calibri" w:cstheme="minorHAnsi"/>
                      <w:lang w:eastAsia="cs-CZ"/>
                    </w:rPr>
                  </w:pPr>
                  <w:r w:rsidRPr="00BD45C0">
                    <w:rPr>
                      <w:rFonts w:eastAsia="Calibri" w:cstheme="minorHAnsi"/>
                      <w:b/>
                      <w:color w:val="000000"/>
                      <w:lang w:eastAsia="cs-CZ"/>
                    </w:rPr>
                    <w:t>a)</w:t>
                  </w:r>
                </w:p>
              </w:tc>
              <w:tc>
                <w:tcPr>
                  <w:tcW w:w="16615" w:type="dxa"/>
                  <w:tcMar>
                    <w:top w:w="30" w:type="dxa"/>
                    <w:left w:w="60" w:type="dxa"/>
                    <w:bottom w:w="15" w:type="dxa"/>
                    <w:right w:w="15" w:type="dxa"/>
                  </w:tcMar>
                  <w:vAlign w:val="center"/>
                </w:tcPr>
                <w:p w14:paraId="0405E53A" w14:textId="77777777" w:rsidR="00BD45C0" w:rsidRPr="00BD45C0" w:rsidRDefault="00BD45C0" w:rsidP="006C676C">
                  <w:pPr>
                    <w:spacing w:after="0" w:line="240" w:lineRule="auto"/>
                    <w:ind w:left="120"/>
                    <w:jc w:val="both"/>
                    <w:rPr>
                      <w:rFonts w:eastAsia="Calibri" w:cstheme="minorHAnsi"/>
                      <w:lang w:eastAsia="cs-CZ"/>
                    </w:rPr>
                  </w:pPr>
                  <w:r w:rsidRPr="00BD45C0">
                    <w:rPr>
                      <w:rFonts w:eastAsia="Calibri" w:cstheme="minorHAnsi"/>
                      <w:color w:val="444444"/>
                      <w:lang w:eastAsia="cs-CZ"/>
                    </w:rPr>
                    <w:t>provede útok ohrožující život nebo zdraví člověka s cílem způsobit smrt nebo těžkou újmu na zdraví,</w:t>
                  </w:r>
                </w:p>
              </w:tc>
            </w:tr>
            <w:tr w:rsidR="00BD45C0" w:rsidRPr="00BD45C0" w14:paraId="0A295B23" w14:textId="77777777" w:rsidTr="00D719AE">
              <w:trPr>
                <w:trHeight w:val="30"/>
                <w:tblCellSpacing w:w="0" w:type="dxa"/>
              </w:trPr>
              <w:tc>
                <w:tcPr>
                  <w:tcW w:w="640" w:type="dxa"/>
                  <w:tcMar>
                    <w:top w:w="30" w:type="dxa"/>
                    <w:left w:w="15" w:type="dxa"/>
                    <w:bottom w:w="15" w:type="dxa"/>
                    <w:right w:w="15" w:type="dxa"/>
                  </w:tcMar>
                </w:tcPr>
                <w:p w14:paraId="7CA78B12" w14:textId="77777777" w:rsidR="00BD45C0" w:rsidRPr="00BD45C0" w:rsidRDefault="00BD45C0" w:rsidP="006C676C">
                  <w:pPr>
                    <w:spacing w:after="0" w:line="240" w:lineRule="auto"/>
                    <w:rPr>
                      <w:rFonts w:eastAsia="Calibri" w:cstheme="minorHAnsi"/>
                      <w:lang w:eastAsia="cs-CZ"/>
                    </w:rPr>
                  </w:pPr>
                  <w:r w:rsidRPr="00BD45C0">
                    <w:rPr>
                      <w:rFonts w:eastAsia="Calibri" w:cstheme="minorHAnsi"/>
                      <w:b/>
                      <w:color w:val="000000"/>
                      <w:lang w:eastAsia="cs-CZ"/>
                    </w:rPr>
                    <w:t>b)</w:t>
                  </w:r>
                </w:p>
              </w:tc>
              <w:tc>
                <w:tcPr>
                  <w:tcW w:w="16615" w:type="dxa"/>
                  <w:tcMar>
                    <w:top w:w="30" w:type="dxa"/>
                    <w:left w:w="60" w:type="dxa"/>
                    <w:bottom w:w="15" w:type="dxa"/>
                    <w:right w:w="15" w:type="dxa"/>
                  </w:tcMar>
                  <w:vAlign w:val="center"/>
                </w:tcPr>
                <w:p w14:paraId="428F2FCB" w14:textId="77777777" w:rsidR="00BD45C0" w:rsidRPr="00BD45C0" w:rsidRDefault="00BD45C0" w:rsidP="006C676C">
                  <w:pPr>
                    <w:spacing w:after="0" w:line="240" w:lineRule="auto"/>
                    <w:ind w:left="120"/>
                    <w:jc w:val="both"/>
                    <w:rPr>
                      <w:rFonts w:eastAsia="Calibri" w:cstheme="minorHAnsi"/>
                      <w:lang w:eastAsia="cs-CZ"/>
                    </w:rPr>
                  </w:pPr>
                  <w:r w:rsidRPr="00BD45C0">
                    <w:rPr>
                      <w:rFonts w:eastAsia="Calibri" w:cstheme="minorHAnsi"/>
                      <w:color w:val="444444"/>
                      <w:lang w:eastAsia="cs-CZ"/>
                    </w:rPr>
                    <w:t>zmocní se rukojmí nebo provede únos,</w:t>
                  </w:r>
                </w:p>
              </w:tc>
            </w:tr>
            <w:tr w:rsidR="00BD45C0" w:rsidRPr="00BD45C0" w14:paraId="51F5CD7F" w14:textId="77777777" w:rsidTr="00D719AE">
              <w:trPr>
                <w:trHeight w:val="30"/>
                <w:tblCellSpacing w:w="0" w:type="dxa"/>
              </w:trPr>
              <w:tc>
                <w:tcPr>
                  <w:tcW w:w="640" w:type="dxa"/>
                  <w:tcMar>
                    <w:top w:w="30" w:type="dxa"/>
                    <w:left w:w="15" w:type="dxa"/>
                    <w:bottom w:w="15" w:type="dxa"/>
                    <w:right w:w="15" w:type="dxa"/>
                  </w:tcMar>
                </w:tcPr>
                <w:p w14:paraId="6F99FFC4" w14:textId="77777777" w:rsidR="00BD45C0" w:rsidRPr="00BD45C0" w:rsidRDefault="00BD45C0" w:rsidP="006C676C">
                  <w:pPr>
                    <w:spacing w:after="0" w:line="240" w:lineRule="auto"/>
                    <w:rPr>
                      <w:rFonts w:eastAsia="Calibri" w:cstheme="minorHAnsi"/>
                      <w:lang w:eastAsia="cs-CZ"/>
                    </w:rPr>
                  </w:pPr>
                  <w:r w:rsidRPr="00BD45C0">
                    <w:rPr>
                      <w:rFonts w:eastAsia="Calibri" w:cstheme="minorHAnsi"/>
                      <w:b/>
                      <w:color w:val="000000"/>
                      <w:lang w:eastAsia="cs-CZ"/>
                    </w:rPr>
                    <w:t>c)</w:t>
                  </w:r>
                </w:p>
              </w:tc>
              <w:tc>
                <w:tcPr>
                  <w:tcW w:w="16615" w:type="dxa"/>
                  <w:tcMar>
                    <w:top w:w="30" w:type="dxa"/>
                    <w:left w:w="60" w:type="dxa"/>
                    <w:bottom w:w="15" w:type="dxa"/>
                    <w:right w:w="15" w:type="dxa"/>
                  </w:tcMar>
                  <w:vAlign w:val="center"/>
                </w:tcPr>
                <w:p w14:paraId="01F5E8EF" w14:textId="77777777" w:rsidR="00BD45C0" w:rsidRPr="00BD45C0" w:rsidRDefault="00BD45C0" w:rsidP="006C676C">
                  <w:pPr>
                    <w:spacing w:after="0" w:line="240" w:lineRule="auto"/>
                    <w:ind w:left="120"/>
                    <w:jc w:val="both"/>
                    <w:rPr>
                      <w:rFonts w:eastAsia="Calibri" w:cstheme="minorHAnsi"/>
                      <w:lang w:eastAsia="cs-CZ"/>
                    </w:rPr>
                  </w:pPr>
                  <w:r w:rsidRPr="00BD45C0">
                    <w:rPr>
                      <w:rFonts w:eastAsia="Calibri" w:cstheme="minorHAnsi"/>
                      <w:color w:val="444444"/>
                      <w:lang w:eastAsia="cs-CZ"/>
                    </w:rPr>
                    <w:t>zničí nebo poškodí ve větší míře veřejné prostranství, majetek nebo veřejné zařízení, dopravní nebo telekomunikační systém, pevnou plošinu na pevninské mělčině, energetické, vodárenské, zdravotnické nebo jiné důležité zařízení, včetně počítačového systému, na jehož fungování takové zařízení, systém nebo plošina závisejí, s cílem ohrozit tím lidské životy nebo bezpečnost takového prostranství, zařízení, systému nebo plošiny,</w:t>
                  </w:r>
                </w:p>
              </w:tc>
            </w:tr>
            <w:tr w:rsidR="00BD45C0" w:rsidRPr="00BD45C0" w14:paraId="2F44DCA6" w14:textId="77777777" w:rsidTr="00D719AE">
              <w:trPr>
                <w:trHeight w:val="30"/>
                <w:tblCellSpacing w:w="0" w:type="dxa"/>
              </w:trPr>
              <w:tc>
                <w:tcPr>
                  <w:tcW w:w="640" w:type="dxa"/>
                  <w:tcMar>
                    <w:top w:w="30" w:type="dxa"/>
                    <w:left w:w="15" w:type="dxa"/>
                    <w:bottom w:w="15" w:type="dxa"/>
                    <w:right w:w="15" w:type="dxa"/>
                  </w:tcMar>
                </w:tcPr>
                <w:p w14:paraId="5DD97593" w14:textId="77777777" w:rsidR="00BD45C0" w:rsidRPr="00BD45C0" w:rsidRDefault="00BD45C0" w:rsidP="006C676C">
                  <w:pPr>
                    <w:spacing w:after="0" w:line="240" w:lineRule="auto"/>
                    <w:rPr>
                      <w:rFonts w:eastAsia="Calibri" w:cstheme="minorHAnsi"/>
                      <w:lang w:eastAsia="cs-CZ"/>
                    </w:rPr>
                  </w:pPr>
                  <w:r w:rsidRPr="00BD45C0">
                    <w:rPr>
                      <w:rFonts w:eastAsia="Calibri" w:cstheme="minorHAnsi"/>
                      <w:b/>
                      <w:color w:val="000000"/>
                      <w:lang w:eastAsia="cs-CZ"/>
                    </w:rPr>
                    <w:t>d)</w:t>
                  </w:r>
                </w:p>
              </w:tc>
              <w:tc>
                <w:tcPr>
                  <w:tcW w:w="16615" w:type="dxa"/>
                  <w:tcMar>
                    <w:top w:w="30" w:type="dxa"/>
                    <w:left w:w="60" w:type="dxa"/>
                    <w:bottom w:w="15" w:type="dxa"/>
                    <w:right w:w="15" w:type="dxa"/>
                  </w:tcMar>
                  <w:vAlign w:val="center"/>
                </w:tcPr>
                <w:p w14:paraId="7A808395" w14:textId="77777777" w:rsidR="00BD45C0" w:rsidRPr="00BD45C0" w:rsidRDefault="00BD45C0" w:rsidP="006C676C">
                  <w:pPr>
                    <w:spacing w:after="0" w:line="240" w:lineRule="auto"/>
                    <w:ind w:left="120"/>
                    <w:jc w:val="both"/>
                    <w:rPr>
                      <w:rFonts w:eastAsia="Calibri" w:cstheme="minorHAnsi"/>
                      <w:lang w:eastAsia="cs-CZ"/>
                    </w:rPr>
                  </w:pPr>
                  <w:r w:rsidRPr="00BD45C0">
                    <w:rPr>
                      <w:rFonts w:eastAsia="Calibri" w:cstheme="minorHAnsi"/>
                      <w:color w:val="444444"/>
                      <w:lang w:eastAsia="cs-CZ"/>
                    </w:rPr>
                    <w:t>naruší nebo přeruší dodávku vody, elektrické energie nebo jiného základního přírodního zdroje s cílem ohrozit tím lidské životy,</w:t>
                  </w:r>
                </w:p>
              </w:tc>
            </w:tr>
            <w:tr w:rsidR="00BD45C0" w:rsidRPr="00BD45C0" w14:paraId="75483E8E" w14:textId="77777777" w:rsidTr="00D719AE">
              <w:trPr>
                <w:trHeight w:val="30"/>
                <w:tblCellSpacing w:w="0" w:type="dxa"/>
              </w:trPr>
              <w:tc>
                <w:tcPr>
                  <w:tcW w:w="640" w:type="dxa"/>
                  <w:tcMar>
                    <w:top w:w="30" w:type="dxa"/>
                    <w:left w:w="15" w:type="dxa"/>
                    <w:bottom w:w="15" w:type="dxa"/>
                    <w:right w:w="15" w:type="dxa"/>
                  </w:tcMar>
                </w:tcPr>
                <w:p w14:paraId="7FD186F8" w14:textId="77777777" w:rsidR="00BD45C0" w:rsidRPr="00BD45C0" w:rsidRDefault="00BD45C0" w:rsidP="006C676C">
                  <w:pPr>
                    <w:spacing w:after="0" w:line="240" w:lineRule="auto"/>
                    <w:rPr>
                      <w:rFonts w:eastAsia="Calibri" w:cstheme="minorHAnsi"/>
                      <w:lang w:eastAsia="cs-CZ"/>
                    </w:rPr>
                  </w:pPr>
                  <w:r w:rsidRPr="00BD45C0">
                    <w:rPr>
                      <w:rFonts w:eastAsia="Calibri" w:cstheme="minorHAnsi"/>
                      <w:b/>
                      <w:color w:val="000000"/>
                      <w:lang w:eastAsia="cs-CZ"/>
                    </w:rPr>
                    <w:t>e)</w:t>
                  </w:r>
                </w:p>
              </w:tc>
              <w:tc>
                <w:tcPr>
                  <w:tcW w:w="16615" w:type="dxa"/>
                  <w:tcMar>
                    <w:top w:w="30" w:type="dxa"/>
                    <w:left w:w="60" w:type="dxa"/>
                    <w:bottom w:w="15" w:type="dxa"/>
                    <w:right w:w="15" w:type="dxa"/>
                  </w:tcMar>
                  <w:vAlign w:val="center"/>
                </w:tcPr>
                <w:p w14:paraId="2433E0EA" w14:textId="77777777" w:rsidR="00BD45C0" w:rsidRPr="00BD45C0" w:rsidRDefault="00BD45C0" w:rsidP="006C676C">
                  <w:pPr>
                    <w:spacing w:after="0" w:line="240" w:lineRule="auto"/>
                    <w:ind w:left="120"/>
                    <w:jc w:val="both"/>
                    <w:rPr>
                      <w:rFonts w:eastAsia="Calibri" w:cstheme="minorHAnsi"/>
                      <w:lang w:eastAsia="cs-CZ"/>
                    </w:rPr>
                  </w:pPr>
                  <w:r w:rsidRPr="00BD45C0">
                    <w:rPr>
                      <w:rFonts w:eastAsia="Calibri" w:cstheme="minorHAnsi"/>
                      <w:color w:val="444444"/>
                      <w:lang w:eastAsia="cs-CZ"/>
                    </w:rPr>
                    <w:t>zmocní se letadla, lodi, jiného prostředku osobní či nákladní dopravy nebo pevné plošiny na pevninské mělčině nebo nad takovým dopravním prostředkem nebo pevnou plošinou vykonává kontrolu anebo zničí nebo vážně poškodí navigační zařízení nebo ve větším rozsahu zasahuje do jeho provozu anebo sdělí důležitou nepravdivou informaci, čímž ohrozí život nebo zdraví lidí nebo bezpečnost takového dopravního prostředku,</w:t>
                  </w:r>
                </w:p>
              </w:tc>
            </w:tr>
            <w:tr w:rsidR="00BD45C0" w:rsidRPr="00BD45C0" w14:paraId="5B0D9866" w14:textId="77777777" w:rsidTr="00D719AE">
              <w:trPr>
                <w:trHeight w:val="30"/>
                <w:tblCellSpacing w:w="0" w:type="dxa"/>
              </w:trPr>
              <w:tc>
                <w:tcPr>
                  <w:tcW w:w="640" w:type="dxa"/>
                  <w:tcMar>
                    <w:top w:w="30" w:type="dxa"/>
                    <w:left w:w="15" w:type="dxa"/>
                    <w:bottom w:w="15" w:type="dxa"/>
                    <w:right w:w="15" w:type="dxa"/>
                  </w:tcMar>
                </w:tcPr>
                <w:p w14:paraId="6F94CDB6" w14:textId="77777777" w:rsidR="00BD45C0" w:rsidRPr="00BD45C0" w:rsidRDefault="00BD45C0" w:rsidP="006C676C">
                  <w:pPr>
                    <w:spacing w:after="0" w:line="240" w:lineRule="auto"/>
                    <w:rPr>
                      <w:rFonts w:eastAsia="Calibri" w:cstheme="minorHAnsi"/>
                      <w:lang w:eastAsia="cs-CZ"/>
                    </w:rPr>
                  </w:pPr>
                  <w:r w:rsidRPr="00BD45C0">
                    <w:rPr>
                      <w:rFonts w:eastAsia="Calibri" w:cstheme="minorHAnsi"/>
                      <w:b/>
                      <w:color w:val="000000"/>
                      <w:lang w:eastAsia="cs-CZ"/>
                    </w:rPr>
                    <w:t>f)</w:t>
                  </w:r>
                </w:p>
              </w:tc>
              <w:tc>
                <w:tcPr>
                  <w:tcW w:w="16615" w:type="dxa"/>
                  <w:tcMar>
                    <w:top w:w="30" w:type="dxa"/>
                    <w:left w:w="60" w:type="dxa"/>
                    <w:bottom w:w="15" w:type="dxa"/>
                    <w:right w:w="15" w:type="dxa"/>
                  </w:tcMar>
                  <w:vAlign w:val="center"/>
                </w:tcPr>
                <w:p w14:paraId="3AA4B056" w14:textId="77777777" w:rsidR="00BD45C0" w:rsidRPr="00BD45C0" w:rsidRDefault="00BD45C0" w:rsidP="006C676C">
                  <w:pPr>
                    <w:spacing w:after="0" w:line="240" w:lineRule="auto"/>
                    <w:ind w:left="120"/>
                    <w:jc w:val="both"/>
                    <w:rPr>
                      <w:rFonts w:eastAsia="Calibri" w:cstheme="minorHAnsi"/>
                      <w:lang w:eastAsia="cs-CZ"/>
                    </w:rPr>
                  </w:pPr>
                  <w:r w:rsidRPr="00BD45C0">
                    <w:rPr>
                      <w:rFonts w:eastAsia="Calibri" w:cstheme="minorHAnsi"/>
                      <w:color w:val="444444"/>
                      <w:lang w:eastAsia="cs-CZ"/>
                    </w:rPr>
                    <w:t xml:space="preserve">vyrábí nebo jinak získá, přechovává, dováží, přepravuje, vyváží či jinak dodává nebo užije výbušninu, jaderný materiál, jadernou, biologickou, chemickou nebo jinou zbraň, bojový </w:t>
                  </w:r>
                  <w:r w:rsidRPr="00BD45C0">
                    <w:rPr>
                      <w:rFonts w:eastAsia="Calibri" w:cstheme="minorHAnsi"/>
                      <w:color w:val="444444"/>
                      <w:lang w:eastAsia="cs-CZ"/>
                    </w:rPr>
                    <w:lastRenderedPageBreak/>
                    <w:t>prostředek nebo materiál obdobné povahy, anebo provádí výzkum a vývoj jaderné, biologické, chemické nebo jiné zbraně nebo bojového prostředku nebo výbušniny, nebo</w:t>
                  </w:r>
                </w:p>
              </w:tc>
            </w:tr>
            <w:tr w:rsidR="00BD45C0" w:rsidRPr="00BD45C0" w14:paraId="62B28D0C" w14:textId="77777777" w:rsidTr="00D719AE">
              <w:trPr>
                <w:trHeight w:val="30"/>
                <w:tblCellSpacing w:w="0" w:type="dxa"/>
              </w:trPr>
              <w:tc>
                <w:tcPr>
                  <w:tcW w:w="640" w:type="dxa"/>
                  <w:tcMar>
                    <w:top w:w="30" w:type="dxa"/>
                    <w:left w:w="15" w:type="dxa"/>
                    <w:bottom w:w="15" w:type="dxa"/>
                    <w:right w:w="15" w:type="dxa"/>
                  </w:tcMar>
                </w:tcPr>
                <w:p w14:paraId="339C73FF" w14:textId="77777777" w:rsidR="00BD45C0" w:rsidRPr="00BD45C0" w:rsidRDefault="00BD45C0" w:rsidP="006C676C">
                  <w:pPr>
                    <w:spacing w:after="0" w:line="240" w:lineRule="auto"/>
                    <w:rPr>
                      <w:rFonts w:eastAsia="Calibri" w:cstheme="minorHAnsi"/>
                      <w:lang w:eastAsia="cs-CZ"/>
                    </w:rPr>
                  </w:pPr>
                  <w:r w:rsidRPr="00BD45C0">
                    <w:rPr>
                      <w:rFonts w:eastAsia="Calibri" w:cstheme="minorHAnsi"/>
                      <w:b/>
                      <w:color w:val="000000"/>
                      <w:lang w:eastAsia="cs-CZ"/>
                    </w:rPr>
                    <w:lastRenderedPageBreak/>
                    <w:t>g)</w:t>
                  </w:r>
                </w:p>
              </w:tc>
              <w:tc>
                <w:tcPr>
                  <w:tcW w:w="16615" w:type="dxa"/>
                  <w:tcMar>
                    <w:top w:w="30" w:type="dxa"/>
                    <w:left w:w="60" w:type="dxa"/>
                    <w:bottom w:w="15" w:type="dxa"/>
                    <w:right w:w="15" w:type="dxa"/>
                  </w:tcMar>
                  <w:vAlign w:val="center"/>
                </w:tcPr>
                <w:p w14:paraId="141AC98B" w14:textId="77777777" w:rsidR="00BD45C0" w:rsidRPr="00BD45C0" w:rsidRDefault="00BD45C0" w:rsidP="006C676C">
                  <w:pPr>
                    <w:spacing w:after="0" w:line="240" w:lineRule="auto"/>
                    <w:ind w:left="120"/>
                    <w:jc w:val="both"/>
                    <w:rPr>
                      <w:rFonts w:eastAsia="Calibri" w:cstheme="minorHAnsi"/>
                      <w:lang w:eastAsia="cs-CZ"/>
                    </w:rPr>
                  </w:pPr>
                  <w:r w:rsidRPr="00BD45C0">
                    <w:rPr>
                      <w:rFonts w:eastAsia="Calibri" w:cstheme="minorHAnsi"/>
                      <w:color w:val="444444"/>
                      <w:lang w:eastAsia="cs-CZ"/>
                    </w:rPr>
                    <w:t>vydá lidi v obecné nebezpečí smrti nebo těžké újmy na zdraví tím, že způsobí požár nebo povodeň nebo škodlivý účinek výbušnin, plynu, elektřiny nebo jiných podobně nebezpečných látek nebo sil nebo se dopustí jiného podobného nebezpečného jednání, nebo takové obecné nebezpečí zvýší nebo ztíží jeho odvrácení nebo zmírnění, bude potrestán odnětím svobody na pět až patnáct let, popřípadě vedle tohoto trestu též propadnutím majetku.</w:t>
                  </w:r>
                </w:p>
              </w:tc>
            </w:tr>
          </w:tbl>
          <w:p w14:paraId="76D9DDFF" w14:textId="77777777" w:rsidR="00BD45C0" w:rsidRPr="00BD45C0" w:rsidRDefault="00BD45C0" w:rsidP="006C676C">
            <w:pPr>
              <w:spacing w:after="0" w:line="240" w:lineRule="auto"/>
              <w:rPr>
                <w:rFonts w:eastAsia="Calibri" w:cstheme="minorHAnsi"/>
                <w:lang w:eastAsia="cs-CZ"/>
              </w:rPr>
            </w:pPr>
          </w:p>
        </w:tc>
      </w:tr>
      <w:tr w:rsidR="00BD45C0" w:rsidRPr="00BD45C0" w14:paraId="1B48EB78" w14:textId="77777777" w:rsidTr="00D719AE">
        <w:trPr>
          <w:trHeight w:val="30"/>
          <w:tblCellSpacing w:w="0" w:type="dxa"/>
        </w:trPr>
        <w:tc>
          <w:tcPr>
            <w:tcW w:w="640" w:type="dxa"/>
            <w:tcMar>
              <w:top w:w="30" w:type="dxa"/>
              <w:left w:w="15" w:type="dxa"/>
              <w:bottom w:w="15" w:type="dxa"/>
              <w:right w:w="15" w:type="dxa"/>
            </w:tcMar>
          </w:tcPr>
          <w:p w14:paraId="2253D4D1" w14:textId="77777777" w:rsidR="00BD45C0" w:rsidRPr="00BD45C0" w:rsidRDefault="00BD45C0" w:rsidP="006C676C">
            <w:pPr>
              <w:spacing w:after="0" w:line="240" w:lineRule="auto"/>
              <w:rPr>
                <w:rFonts w:eastAsia="Calibri" w:cstheme="minorHAnsi"/>
                <w:lang w:eastAsia="cs-CZ"/>
              </w:rPr>
            </w:pPr>
            <w:r w:rsidRPr="00BD45C0">
              <w:rPr>
                <w:rFonts w:eastAsia="Calibri" w:cstheme="minorHAnsi"/>
                <w:b/>
                <w:color w:val="000000"/>
                <w:lang w:eastAsia="cs-CZ"/>
              </w:rPr>
              <w:lastRenderedPageBreak/>
              <w:t>(3)</w:t>
            </w:r>
          </w:p>
        </w:tc>
        <w:tc>
          <w:tcPr>
            <w:tcW w:w="17335" w:type="dxa"/>
            <w:tcMar>
              <w:top w:w="30" w:type="dxa"/>
              <w:left w:w="60" w:type="dxa"/>
              <w:bottom w:w="15" w:type="dxa"/>
              <w:right w:w="15" w:type="dxa"/>
            </w:tcMar>
            <w:vAlign w:val="center"/>
          </w:tcPr>
          <w:p w14:paraId="05182C19" w14:textId="77777777" w:rsidR="00BD45C0" w:rsidRPr="00BD45C0" w:rsidRDefault="00BD45C0" w:rsidP="006C676C">
            <w:pPr>
              <w:spacing w:after="0" w:line="240" w:lineRule="auto"/>
              <w:ind w:left="60"/>
              <w:jc w:val="both"/>
              <w:rPr>
                <w:rFonts w:eastAsia="Calibri" w:cstheme="minorHAnsi"/>
                <w:lang w:eastAsia="cs-CZ"/>
              </w:rPr>
            </w:pPr>
            <w:r w:rsidRPr="00BD45C0">
              <w:rPr>
                <w:rFonts w:eastAsia="Calibri" w:cstheme="minorHAnsi"/>
                <w:color w:val="444444"/>
                <w:u w:val="single"/>
                <w:lang w:eastAsia="cs-CZ"/>
              </w:rPr>
              <w:t>Odnětím svobody na dvanáct až dvacet let, popřípadě vedle tohoto trestu též propadnutím majetku, nebo výjimečným trestem bude pachatel potrestán</w:t>
            </w:r>
            <w:r w:rsidRPr="00BD45C0">
              <w:rPr>
                <w:rFonts w:eastAsia="Calibri" w:cstheme="minorHAnsi"/>
                <w:color w:val="444444"/>
                <w:lang w:eastAsia="cs-CZ"/>
              </w:rPr>
              <w:t>,</w:t>
            </w:r>
          </w:p>
          <w:tbl>
            <w:tblPr>
              <w:tblW w:w="0" w:type="auto"/>
              <w:tblCellSpacing w:w="0" w:type="dxa"/>
              <w:tblLook w:val="04A0" w:firstRow="1" w:lastRow="0" w:firstColumn="1" w:lastColumn="0" w:noHBand="0" w:noVBand="1"/>
            </w:tblPr>
            <w:tblGrid>
              <w:gridCol w:w="405"/>
              <w:gridCol w:w="8159"/>
            </w:tblGrid>
            <w:tr w:rsidR="00BD45C0" w:rsidRPr="00BD45C0" w14:paraId="41E7F07E" w14:textId="77777777" w:rsidTr="00D719AE">
              <w:trPr>
                <w:trHeight w:val="30"/>
                <w:tblCellSpacing w:w="0" w:type="dxa"/>
              </w:trPr>
              <w:tc>
                <w:tcPr>
                  <w:tcW w:w="640" w:type="dxa"/>
                  <w:tcMar>
                    <w:top w:w="30" w:type="dxa"/>
                    <w:left w:w="15" w:type="dxa"/>
                    <w:bottom w:w="15" w:type="dxa"/>
                    <w:right w:w="15" w:type="dxa"/>
                  </w:tcMar>
                </w:tcPr>
                <w:p w14:paraId="0B606A37" w14:textId="77777777" w:rsidR="00BD45C0" w:rsidRPr="00BD45C0" w:rsidRDefault="00BD45C0" w:rsidP="006C676C">
                  <w:pPr>
                    <w:spacing w:after="0" w:line="240" w:lineRule="auto"/>
                    <w:rPr>
                      <w:rFonts w:eastAsia="Calibri" w:cstheme="minorHAnsi"/>
                      <w:lang w:eastAsia="cs-CZ"/>
                    </w:rPr>
                  </w:pPr>
                  <w:r w:rsidRPr="00BD45C0">
                    <w:rPr>
                      <w:rFonts w:eastAsia="Calibri" w:cstheme="minorHAnsi"/>
                      <w:b/>
                      <w:color w:val="000000"/>
                      <w:lang w:eastAsia="cs-CZ"/>
                    </w:rPr>
                    <w:t>a)</w:t>
                  </w:r>
                </w:p>
              </w:tc>
              <w:tc>
                <w:tcPr>
                  <w:tcW w:w="16615" w:type="dxa"/>
                  <w:tcMar>
                    <w:top w:w="30" w:type="dxa"/>
                    <w:left w:w="60" w:type="dxa"/>
                    <w:bottom w:w="15" w:type="dxa"/>
                    <w:right w:w="15" w:type="dxa"/>
                  </w:tcMar>
                  <w:vAlign w:val="center"/>
                </w:tcPr>
                <w:p w14:paraId="0CD77D20" w14:textId="77777777" w:rsidR="00BD45C0" w:rsidRPr="00BD45C0" w:rsidRDefault="00BD45C0" w:rsidP="006C676C">
                  <w:pPr>
                    <w:spacing w:after="0" w:line="240" w:lineRule="auto"/>
                    <w:ind w:left="120"/>
                    <w:jc w:val="both"/>
                    <w:rPr>
                      <w:rFonts w:eastAsia="Calibri" w:cstheme="minorHAnsi"/>
                      <w:lang w:eastAsia="cs-CZ"/>
                    </w:rPr>
                  </w:pPr>
                  <w:r w:rsidRPr="00BD45C0">
                    <w:rPr>
                      <w:rFonts w:eastAsia="Calibri" w:cstheme="minorHAnsi"/>
                      <w:color w:val="444444"/>
                      <w:lang w:eastAsia="cs-CZ"/>
                    </w:rPr>
                    <w:t>spáchá-li čin uvedený v odstavci 1 nebo 2 jako člen organizované skupiny,</w:t>
                  </w:r>
                </w:p>
              </w:tc>
            </w:tr>
            <w:tr w:rsidR="00BD45C0" w:rsidRPr="00BD45C0" w14:paraId="43DA2AE5" w14:textId="77777777" w:rsidTr="00D719AE">
              <w:trPr>
                <w:trHeight w:val="30"/>
                <w:tblCellSpacing w:w="0" w:type="dxa"/>
              </w:trPr>
              <w:tc>
                <w:tcPr>
                  <w:tcW w:w="640" w:type="dxa"/>
                  <w:tcMar>
                    <w:top w:w="30" w:type="dxa"/>
                    <w:left w:w="15" w:type="dxa"/>
                    <w:bottom w:w="15" w:type="dxa"/>
                    <w:right w:w="15" w:type="dxa"/>
                  </w:tcMar>
                </w:tcPr>
                <w:p w14:paraId="7A01F0A1" w14:textId="77777777" w:rsidR="00BD45C0" w:rsidRPr="00BD45C0" w:rsidRDefault="00BD45C0" w:rsidP="006C676C">
                  <w:pPr>
                    <w:spacing w:after="0" w:line="240" w:lineRule="auto"/>
                    <w:rPr>
                      <w:rFonts w:eastAsia="Calibri" w:cstheme="minorHAnsi"/>
                      <w:lang w:eastAsia="cs-CZ"/>
                    </w:rPr>
                  </w:pPr>
                  <w:r w:rsidRPr="00BD45C0">
                    <w:rPr>
                      <w:rFonts w:eastAsia="Calibri" w:cstheme="minorHAnsi"/>
                      <w:b/>
                      <w:color w:val="000000"/>
                      <w:lang w:eastAsia="cs-CZ"/>
                    </w:rPr>
                    <w:t>b)</w:t>
                  </w:r>
                </w:p>
              </w:tc>
              <w:tc>
                <w:tcPr>
                  <w:tcW w:w="16615" w:type="dxa"/>
                  <w:tcMar>
                    <w:top w:w="30" w:type="dxa"/>
                    <w:left w:w="60" w:type="dxa"/>
                    <w:bottom w:w="15" w:type="dxa"/>
                    <w:right w:w="15" w:type="dxa"/>
                  </w:tcMar>
                  <w:vAlign w:val="center"/>
                </w:tcPr>
                <w:p w14:paraId="37794F0B" w14:textId="77777777" w:rsidR="00BD45C0" w:rsidRPr="00BD45C0" w:rsidRDefault="00BD45C0" w:rsidP="006C676C">
                  <w:pPr>
                    <w:spacing w:after="0" w:line="240" w:lineRule="auto"/>
                    <w:ind w:left="120"/>
                    <w:jc w:val="both"/>
                    <w:rPr>
                      <w:rFonts w:eastAsia="Calibri" w:cstheme="minorHAnsi"/>
                      <w:lang w:eastAsia="cs-CZ"/>
                    </w:rPr>
                  </w:pPr>
                  <w:r w:rsidRPr="00BD45C0">
                    <w:rPr>
                      <w:rFonts w:eastAsia="Calibri" w:cstheme="minorHAnsi"/>
                      <w:color w:val="444444"/>
                      <w:lang w:eastAsia="cs-CZ"/>
                    </w:rPr>
                    <w:t>způsobí-li takovým činem těžkou újmu na zdraví nebo smrt,</w:t>
                  </w:r>
                </w:p>
              </w:tc>
            </w:tr>
            <w:tr w:rsidR="00BD45C0" w:rsidRPr="00BD45C0" w14:paraId="31F0344A" w14:textId="77777777" w:rsidTr="00D719AE">
              <w:trPr>
                <w:trHeight w:val="30"/>
                <w:tblCellSpacing w:w="0" w:type="dxa"/>
              </w:trPr>
              <w:tc>
                <w:tcPr>
                  <w:tcW w:w="640" w:type="dxa"/>
                  <w:tcMar>
                    <w:top w:w="30" w:type="dxa"/>
                    <w:left w:w="15" w:type="dxa"/>
                    <w:bottom w:w="15" w:type="dxa"/>
                    <w:right w:w="15" w:type="dxa"/>
                  </w:tcMar>
                </w:tcPr>
                <w:p w14:paraId="23AC5B20" w14:textId="77777777" w:rsidR="00BD45C0" w:rsidRPr="00BD45C0" w:rsidRDefault="00BD45C0" w:rsidP="006C676C">
                  <w:pPr>
                    <w:spacing w:after="0" w:line="240" w:lineRule="auto"/>
                    <w:rPr>
                      <w:rFonts w:eastAsia="Calibri" w:cstheme="minorHAnsi"/>
                      <w:lang w:eastAsia="cs-CZ"/>
                    </w:rPr>
                  </w:pPr>
                  <w:r w:rsidRPr="00BD45C0">
                    <w:rPr>
                      <w:rFonts w:eastAsia="Calibri" w:cstheme="minorHAnsi"/>
                      <w:b/>
                      <w:color w:val="000000"/>
                      <w:lang w:eastAsia="cs-CZ"/>
                    </w:rPr>
                    <w:t>c)</w:t>
                  </w:r>
                </w:p>
              </w:tc>
              <w:tc>
                <w:tcPr>
                  <w:tcW w:w="16615" w:type="dxa"/>
                  <w:tcMar>
                    <w:top w:w="30" w:type="dxa"/>
                    <w:left w:w="60" w:type="dxa"/>
                    <w:bottom w:w="15" w:type="dxa"/>
                    <w:right w:w="15" w:type="dxa"/>
                  </w:tcMar>
                  <w:vAlign w:val="center"/>
                </w:tcPr>
                <w:p w14:paraId="26309C7D" w14:textId="77777777" w:rsidR="00BD45C0" w:rsidRPr="00BD45C0" w:rsidRDefault="00BD45C0" w:rsidP="006C676C">
                  <w:pPr>
                    <w:spacing w:after="0" w:line="240" w:lineRule="auto"/>
                    <w:ind w:left="120"/>
                    <w:jc w:val="both"/>
                    <w:rPr>
                      <w:rFonts w:eastAsia="Calibri" w:cstheme="minorHAnsi"/>
                      <w:u w:val="single"/>
                      <w:lang w:eastAsia="cs-CZ"/>
                    </w:rPr>
                  </w:pPr>
                  <w:r w:rsidRPr="00BD45C0">
                    <w:rPr>
                      <w:rFonts w:eastAsia="Calibri" w:cstheme="minorHAnsi"/>
                      <w:color w:val="444444"/>
                      <w:u w:val="single"/>
                      <w:lang w:eastAsia="cs-CZ"/>
                    </w:rPr>
                    <w:t>způsobí-li takovým činem, že větší počet lidí zůstal bez přístřeší,</w:t>
                  </w:r>
                </w:p>
              </w:tc>
            </w:tr>
            <w:tr w:rsidR="00BD45C0" w:rsidRPr="00BD45C0" w14:paraId="10064EC6" w14:textId="77777777" w:rsidTr="00D719AE">
              <w:trPr>
                <w:trHeight w:val="30"/>
                <w:tblCellSpacing w:w="0" w:type="dxa"/>
              </w:trPr>
              <w:tc>
                <w:tcPr>
                  <w:tcW w:w="640" w:type="dxa"/>
                  <w:tcMar>
                    <w:top w:w="30" w:type="dxa"/>
                    <w:left w:w="15" w:type="dxa"/>
                    <w:bottom w:w="15" w:type="dxa"/>
                    <w:right w:w="15" w:type="dxa"/>
                  </w:tcMar>
                </w:tcPr>
                <w:p w14:paraId="6712BC4B" w14:textId="77777777" w:rsidR="00BD45C0" w:rsidRPr="00BD45C0" w:rsidRDefault="00BD45C0" w:rsidP="006C676C">
                  <w:pPr>
                    <w:spacing w:after="0" w:line="240" w:lineRule="auto"/>
                    <w:rPr>
                      <w:rFonts w:eastAsia="Calibri" w:cstheme="minorHAnsi"/>
                      <w:lang w:eastAsia="cs-CZ"/>
                    </w:rPr>
                  </w:pPr>
                  <w:r w:rsidRPr="00BD45C0">
                    <w:rPr>
                      <w:rFonts w:eastAsia="Calibri" w:cstheme="minorHAnsi"/>
                      <w:b/>
                      <w:color w:val="000000"/>
                      <w:lang w:eastAsia="cs-CZ"/>
                    </w:rPr>
                    <w:t>d)</w:t>
                  </w:r>
                </w:p>
              </w:tc>
              <w:tc>
                <w:tcPr>
                  <w:tcW w:w="16615" w:type="dxa"/>
                  <w:tcMar>
                    <w:top w:w="30" w:type="dxa"/>
                    <w:left w:w="60" w:type="dxa"/>
                    <w:bottom w:w="15" w:type="dxa"/>
                    <w:right w:w="15" w:type="dxa"/>
                  </w:tcMar>
                  <w:vAlign w:val="center"/>
                </w:tcPr>
                <w:p w14:paraId="54CE790A" w14:textId="77777777" w:rsidR="00BD45C0" w:rsidRPr="00BD45C0" w:rsidRDefault="00BD45C0" w:rsidP="006C676C">
                  <w:pPr>
                    <w:spacing w:after="0" w:line="240" w:lineRule="auto"/>
                    <w:ind w:left="120"/>
                    <w:jc w:val="both"/>
                    <w:rPr>
                      <w:rFonts w:eastAsia="Calibri" w:cstheme="minorHAnsi"/>
                      <w:u w:val="single"/>
                      <w:lang w:eastAsia="cs-CZ"/>
                    </w:rPr>
                  </w:pPr>
                  <w:r w:rsidRPr="00BD45C0">
                    <w:rPr>
                      <w:rFonts w:eastAsia="Calibri" w:cstheme="minorHAnsi"/>
                      <w:color w:val="444444"/>
                      <w:u w:val="single"/>
                      <w:lang w:eastAsia="cs-CZ"/>
                    </w:rPr>
                    <w:t>způsobí-li takovým činem škodu velkého rozsahu,</w:t>
                  </w:r>
                </w:p>
              </w:tc>
            </w:tr>
            <w:tr w:rsidR="00BD45C0" w:rsidRPr="00BD45C0" w14:paraId="7A878CC5" w14:textId="77777777" w:rsidTr="00D719AE">
              <w:trPr>
                <w:trHeight w:val="30"/>
                <w:tblCellSpacing w:w="0" w:type="dxa"/>
              </w:trPr>
              <w:tc>
                <w:tcPr>
                  <w:tcW w:w="640" w:type="dxa"/>
                  <w:tcMar>
                    <w:top w:w="30" w:type="dxa"/>
                    <w:left w:w="15" w:type="dxa"/>
                    <w:bottom w:w="15" w:type="dxa"/>
                    <w:right w:w="15" w:type="dxa"/>
                  </w:tcMar>
                </w:tcPr>
                <w:p w14:paraId="5D08C91C" w14:textId="77777777" w:rsidR="00BD45C0" w:rsidRPr="00BD45C0" w:rsidRDefault="00BD45C0" w:rsidP="006C676C">
                  <w:pPr>
                    <w:spacing w:after="0" w:line="240" w:lineRule="auto"/>
                    <w:rPr>
                      <w:rFonts w:eastAsia="Calibri" w:cstheme="minorHAnsi"/>
                      <w:lang w:eastAsia="cs-CZ"/>
                    </w:rPr>
                  </w:pPr>
                  <w:r w:rsidRPr="00BD45C0">
                    <w:rPr>
                      <w:rFonts w:eastAsia="Calibri" w:cstheme="minorHAnsi"/>
                      <w:b/>
                      <w:color w:val="000000"/>
                      <w:lang w:eastAsia="cs-CZ"/>
                    </w:rPr>
                    <w:t>e)</w:t>
                  </w:r>
                </w:p>
              </w:tc>
              <w:tc>
                <w:tcPr>
                  <w:tcW w:w="16615" w:type="dxa"/>
                  <w:tcMar>
                    <w:top w:w="30" w:type="dxa"/>
                    <w:left w:w="60" w:type="dxa"/>
                    <w:bottom w:w="15" w:type="dxa"/>
                    <w:right w:w="15" w:type="dxa"/>
                  </w:tcMar>
                  <w:vAlign w:val="center"/>
                </w:tcPr>
                <w:p w14:paraId="35182671" w14:textId="77777777" w:rsidR="00BD45C0" w:rsidRPr="00BD45C0" w:rsidRDefault="00BD45C0" w:rsidP="006C676C">
                  <w:pPr>
                    <w:spacing w:after="0" w:line="240" w:lineRule="auto"/>
                    <w:ind w:left="120"/>
                    <w:jc w:val="both"/>
                    <w:rPr>
                      <w:rFonts w:eastAsia="Calibri" w:cstheme="minorHAnsi"/>
                      <w:u w:val="single"/>
                      <w:lang w:eastAsia="cs-CZ"/>
                    </w:rPr>
                  </w:pPr>
                  <w:r w:rsidRPr="00BD45C0">
                    <w:rPr>
                      <w:rFonts w:eastAsia="Calibri" w:cstheme="minorHAnsi"/>
                      <w:color w:val="444444"/>
                      <w:u w:val="single"/>
                      <w:lang w:eastAsia="cs-CZ"/>
                    </w:rPr>
                    <w:t>získá-li takovým činem pro sebe nebo pro jiného prospěch velkého rozsahu,</w:t>
                  </w:r>
                </w:p>
              </w:tc>
            </w:tr>
            <w:tr w:rsidR="00BD45C0" w:rsidRPr="00BD45C0" w14:paraId="7965E28C" w14:textId="77777777" w:rsidTr="00D719AE">
              <w:trPr>
                <w:trHeight w:val="30"/>
                <w:tblCellSpacing w:w="0" w:type="dxa"/>
              </w:trPr>
              <w:tc>
                <w:tcPr>
                  <w:tcW w:w="640" w:type="dxa"/>
                  <w:tcMar>
                    <w:top w:w="30" w:type="dxa"/>
                    <w:left w:w="15" w:type="dxa"/>
                    <w:bottom w:w="15" w:type="dxa"/>
                    <w:right w:w="15" w:type="dxa"/>
                  </w:tcMar>
                </w:tcPr>
                <w:p w14:paraId="3D306BF6" w14:textId="77777777" w:rsidR="00BD45C0" w:rsidRPr="00BD45C0" w:rsidRDefault="00BD45C0" w:rsidP="006C676C">
                  <w:pPr>
                    <w:spacing w:after="0" w:line="240" w:lineRule="auto"/>
                    <w:rPr>
                      <w:rFonts w:eastAsia="Calibri" w:cstheme="minorHAnsi"/>
                      <w:lang w:eastAsia="cs-CZ"/>
                    </w:rPr>
                  </w:pPr>
                  <w:r w:rsidRPr="00BD45C0">
                    <w:rPr>
                      <w:rFonts w:eastAsia="Calibri" w:cstheme="minorHAnsi"/>
                      <w:b/>
                      <w:color w:val="000000"/>
                      <w:lang w:eastAsia="cs-CZ"/>
                    </w:rPr>
                    <w:t>f)</w:t>
                  </w:r>
                </w:p>
              </w:tc>
              <w:tc>
                <w:tcPr>
                  <w:tcW w:w="16615" w:type="dxa"/>
                  <w:tcMar>
                    <w:top w:w="30" w:type="dxa"/>
                    <w:left w:w="60" w:type="dxa"/>
                    <w:bottom w:w="15" w:type="dxa"/>
                    <w:right w:w="15" w:type="dxa"/>
                  </w:tcMar>
                  <w:vAlign w:val="center"/>
                </w:tcPr>
                <w:p w14:paraId="05AA82BB" w14:textId="77777777" w:rsidR="00BD45C0" w:rsidRPr="00BD45C0" w:rsidRDefault="00BD45C0" w:rsidP="006C676C">
                  <w:pPr>
                    <w:spacing w:after="0" w:line="240" w:lineRule="auto"/>
                    <w:ind w:left="120"/>
                    <w:jc w:val="both"/>
                    <w:rPr>
                      <w:rFonts w:eastAsia="Calibri" w:cstheme="minorHAnsi"/>
                      <w:lang w:eastAsia="cs-CZ"/>
                    </w:rPr>
                  </w:pPr>
                  <w:r w:rsidRPr="00BD45C0">
                    <w:rPr>
                      <w:rFonts w:eastAsia="Calibri" w:cstheme="minorHAnsi"/>
                      <w:color w:val="444444"/>
                      <w:lang w:eastAsia="cs-CZ"/>
                    </w:rPr>
                    <w:t>ohrozí-li takovým činem závažně mezinárodní postavení České republiky nebo postavení mezinárodní organizace, jejíž je Česká republika členem, nebo</w:t>
                  </w:r>
                </w:p>
              </w:tc>
            </w:tr>
            <w:tr w:rsidR="00BD45C0" w:rsidRPr="00BD45C0" w14:paraId="00D066E7" w14:textId="77777777" w:rsidTr="00D719AE">
              <w:trPr>
                <w:trHeight w:val="30"/>
                <w:tblCellSpacing w:w="0" w:type="dxa"/>
              </w:trPr>
              <w:tc>
                <w:tcPr>
                  <w:tcW w:w="640" w:type="dxa"/>
                  <w:tcMar>
                    <w:top w:w="30" w:type="dxa"/>
                    <w:left w:w="15" w:type="dxa"/>
                    <w:bottom w:w="15" w:type="dxa"/>
                    <w:right w:w="15" w:type="dxa"/>
                  </w:tcMar>
                </w:tcPr>
                <w:p w14:paraId="54B111EA" w14:textId="77777777" w:rsidR="00BD45C0" w:rsidRPr="00BD45C0" w:rsidRDefault="00BD45C0" w:rsidP="006C676C">
                  <w:pPr>
                    <w:spacing w:after="0" w:line="240" w:lineRule="auto"/>
                    <w:rPr>
                      <w:rFonts w:eastAsia="Calibri" w:cstheme="minorHAnsi"/>
                      <w:lang w:eastAsia="cs-CZ"/>
                    </w:rPr>
                  </w:pPr>
                  <w:r w:rsidRPr="00BD45C0">
                    <w:rPr>
                      <w:rFonts w:eastAsia="Calibri" w:cstheme="minorHAnsi"/>
                      <w:b/>
                      <w:color w:val="000000"/>
                      <w:lang w:eastAsia="cs-CZ"/>
                    </w:rPr>
                    <w:t>g)</w:t>
                  </w:r>
                </w:p>
              </w:tc>
              <w:tc>
                <w:tcPr>
                  <w:tcW w:w="16615" w:type="dxa"/>
                  <w:tcMar>
                    <w:top w:w="30" w:type="dxa"/>
                    <w:left w:w="60" w:type="dxa"/>
                    <w:bottom w:w="15" w:type="dxa"/>
                    <w:right w:w="15" w:type="dxa"/>
                  </w:tcMar>
                  <w:vAlign w:val="center"/>
                </w:tcPr>
                <w:p w14:paraId="28091DFE" w14:textId="77777777" w:rsidR="00BD45C0" w:rsidRPr="00BD45C0" w:rsidRDefault="00BD45C0" w:rsidP="006C676C">
                  <w:pPr>
                    <w:spacing w:after="0" w:line="240" w:lineRule="auto"/>
                    <w:ind w:left="120"/>
                    <w:jc w:val="both"/>
                    <w:rPr>
                      <w:rFonts w:eastAsia="Calibri" w:cstheme="minorHAnsi"/>
                      <w:lang w:eastAsia="cs-CZ"/>
                    </w:rPr>
                  </w:pPr>
                  <w:r w:rsidRPr="00BD45C0">
                    <w:rPr>
                      <w:rFonts w:eastAsia="Calibri" w:cstheme="minorHAnsi"/>
                      <w:color w:val="444444"/>
                      <w:lang w:eastAsia="cs-CZ"/>
                    </w:rPr>
                    <w:t>spáchá-li takový čin za stavu ohrožení státu nebo za válečného stavu.</w:t>
                  </w:r>
                </w:p>
              </w:tc>
            </w:tr>
          </w:tbl>
          <w:p w14:paraId="56086649" w14:textId="77777777" w:rsidR="00BD45C0" w:rsidRPr="00BD45C0" w:rsidRDefault="00BD45C0" w:rsidP="006C676C">
            <w:pPr>
              <w:spacing w:after="0" w:line="240" w:lineRule="auto"/>
              <w:rPr>
                <w:rFonts w:eastAsia="Calibri" w:cstheme="minorHAnsi"/>
                <w:lang w:eastAsia="cs-CZ"/>
              </w:rPr>
            </w:pPr>
          </w:p>
        </w:tc>
      </w:tr>
      <w:tr w:rsidR="00BD45C0" w:rsidRPr="00BD45C0" w14:paraId="655C600B" w14:textId="77777777" w:rsidTr="00D719AE">
        <w:trPr>
          <w:trHeight w:val="30"/>
          <w:tblCellSpacing w:w="0" w:type="dxa"/>
        </w:trPr>
        <w:tc>
          <w:tcPr>
            <w:tcW w:w="640" w:type="dxa"/>
            <w:tcMar>
              <w:top w:w="30" w:type="dxa"/>
              <w:left w:w="15" w:type="dxa"/>
              <w:bottom w:w="15" w:type="dxa"/>
              <w:right w:w="15" w:type="dxa"/>
            </w:tcMar>
          </w:tcPr>
          <w:p w14:paraId="577E1D94" w14:textId="77777777" w:rsidR="00BD45C0" w:rsidRPr="00BD45C0" w:rsidRDefault="00BD45C0" w:rsidP="006C676C">
            <w:pPr>
              <w:spacing w:after="0" w:line="240" w:lineRule="auto"/>
              <w:rPr>
                <w:rFonts w:eastAsia="Calibri" w:cstheme="minorHAnsi"/>
                <w:lang w:eastAsia="cs-CZ"/>
              </w:rPr>
            </w:pPr>
            <w:r w:rsidRPr="00BD45C0">
              <w:rPr>
                <w:rFonts w:eastAsia="Calibri" w:cstheme="minorHAnsi"/>
                <w:b/>
                <w:color w:val="000000"/>
                <w:lang w:eastAsia="cs-CZ"/>
              </w:rPr>
              <w:t>(4)</w:t>
            </w:r>
          </w:p>
        </w:tc>
        <w:tc>
          <w:tcPr>
            <w:tcW w:w="17335" w:type="dxa"/>
            <w:tcMar>
              <w:top w:w="30" w:type="dxa"/>
              <w:left w:w="60" w:type="dxa"/>
              <w:bottom w:w="15" w:type="dxa"/>
              <w:right w:w="15" w:type="dxa"/>
            </w:tcMar>
            <w:vAlign w:val="center"/>
          </w:tcPr>
          <w:p w14:paraId="1C419F71" w14:textId="77777777" w:rsidR="00BD45C0" w:rsidRDefault="00BD45C0" w:rsidP="006C676C">
            <w:pPr>
              <w:spacing w:after="0" w:line="240" w:lineRule="auto"/>
              <w:ind w:left="60"/>
              <w:jc w:val="both"/>
              <w:rPr>
                <w:rFonts w:eastAsia="Calibri" w:cstheme="minorHAnsi"/>
                <w:color w:val="444444"/>
                <w:u w:val="single"/>
                <w:lang w:eastAsia="cs-CZ"/>
              </w:rPr>
            </w:pPr>
            <w:r w:rsidRPr="00BD45C0">
              <w:rPr>
                <w:rFonts w:eastAsia="Calibri" w:cstheme="minorHAnsi"/>
                <w:color w:val="444444"/>
                <w:u w:val="single"/>
                <w:lang w:eastAsia="cs-CZ"/>
              </w:rPr>
              <w:t>Příprava je trestná.</w:t>
            </w:r>
          </w:p>
          <w:p w14:paraId="1C8E8260" w14:textId="77777777" w:rsidR="001E3BE7" w:rsidRDefault="001E3BE7" w:rsidP="006C676C">
            <w:pPr>
              <w:spacing w:after="0" w:line="240" w:lineRule="auto"/>
              <w:ind w:left="60"/>
              <w:jc w:val="both"/>
              <w:rPr>
                <w:rFonts w:eastAsia="Calibri" w:cstheme="minorHAnsi"/>
                <w:color w:val="444444"/>
                <w:u w:val="single"/>
                <w:lang w:eastAsia="cs-CZ"/>
              </w:rPr>
            </w:pPr>
          </w:p>
          <w:p w14:paraId="222C6BED" w14:textId="77777777" w:rsidR="00853F60" w:rsidRPr="00A37305" w:rsidRDefault="00853F60" w:rsidP="00A37305">
            <w:pPr>
              <w:spacing w:after="0" w:line="240" w:lineRule="auto"/>
              <w:ind w:left="60"/>
              <w:jc w:val="center"/>
              <w:rPr>
                <w:rFonts w:eastAsia="Calibri" w:cstheme="minorHAnsi"/>
                <w:color w:val="000000" w:themeColor="text1"/>
                <w:lang w:eastAsia="cs-CZ"/>
              </w:rPr>
            </w:pPr>
            <w:bookmarkStart w:id="4" w:name="pf211"/>
            <w:r w:rsidRPr="00A37305">
              <w:rPr>
                <w:rFonts w:eastAsia="Calibri" w:cstheme="minorHAnsi"/>
                <w:b/>
                <w:color w:val="000000" w:themeColor="text1"/>
                <w:lang w:eastAsia="cs-CZ"/>
              </w:rPr>
              <w:t>§ 211</w:t>
            </w:r>
          </w:p>
          <w:p w14:paraId="1D352EC7" w14:textId="77777777" w:rsidR="00853F60" w:rsidRPr="00A37305" w:rsidRDefault="00853F60" w:rsidP="00A37305">
            <w:pPr>
              <w:spacing w:after="0" w:line="240" w:lineRule="auto"/>
              <w:ind w:left="60"/>
              <w:jc w:val="center"/>
              <w:rPr>
                <w:rFonts w:eastAsia="Calibri" w:cstheme="minorHAnsi"/>
                <w:color w:val="000000" w:themeColor="text1"/>
                <w:lang w:eastAsia="cs-CZ"/>
              </w:rPr>
            </w:pPr>
            <w:r w:rsidRPr="00A37305">
              <w:rPr>
                <w:rFonts w:eastAsia="Calibri" w:cstheme="minorHAnsi"/>
                <w:b/>
                <w:color w:val="000000" w:themeColor="text1"/>
                <w:lang w:eastAsia="cs-CZ"/>
              </w:rPr>
              <w:t>Úvěrový podvod</w:t>
            </w:r>
          </w:p>
          <w:tbl>
            <w:tblPr>
              <w:tblW w:w="0" w:type="auto"/>
              <w:tblCellSpacing w:w="0" w:type="dxa"/>
              <w:tblLook w:val="04A0" w:firstRow="1" w:lastRow="0" w:firstColumn="1" w:lastColumn="0" w:noHBand="0" w:noVBand="1"/>
            </w:tblPr>
            <w:tblGrid>
              <w:gridCol w:w="462"/>
              <w:gridCol w:w="8102"/>
            </w:tblGrid>
            <w:tr w:rsidR="001E3BE7" w:rsidRPr="00735C61" w14:paraId="0A4BB5F8" w14:textId="77777777" w:rsidTr="00D719AE">
              <w:trPr>
                <w:trHeight w:val="30"/>
                <w:tblCellSpacing w:w="0" w:type="dxa"/>
              </w:trPr>
              <w:tc>
                <w:tcPr>
                  <w:tcW w:w="640" w:type="dxa"/>
                  <w:tcMar>
                    <w:top w:w="30" w:type="dxa"/>
                    <w:left w:w="15" w:type="dxa"/>
                    <w:bottom w:w="15" w:type="dxa"/>
                    <w:right w:w="15" w:type="dxa"/>
                  </w:tcMar>
                </w:tcPr>
                <w:bookmarkEnd w:id="4"/>
                <w:p w14:paraId="1C504D4E" w14:textId="77777777" w:rsidR="001E3BE7" w:rsidRPr="00A37305" w:rsidRDefault="00853F60" w:rsidP="001E3BE7">
                  <w:pPr>
                    <w:spacing w:after="0" w:line="240" w:lineRule="auto"/>
                    <w:ind w:left="60"/>
                    <w:jc w:val="both"/>
                    <w:rPr>
                      <w:rFonts w:eastAsia="Calibri" w:cstheme="minorHAnsi"/>
                      <w:color w:val="444444"/>
                      <w:lang w:eastAsia="cs-CZ"/>
                    </w:rPr>
                  </w:pPr>
                  <w:r w:rsidRPr="00A37305">
                    <w:rPr>
                      <w:rFonts w:eastAsia="Calibri" w:cstheme="minorHAnsi"/>
                      <w:b/>
                      <w:color w:val="444444"/>
                      <w:lang w:eastAsia="cs-CZ"/>
                    </w:rPr>
                    <w:t>(1)</w:t>
                  </w:r>
                </w:p>
              </w:tc>
              <w:tc>
                <w:tcPr>
                  <w:tcW w:w="17335" w:type="dxa"/>
                  <w:tcMar>
                    <w:top w:w="30" w:type="dxa"/>
                    <w:left w:w="60" w:type="dxa"/>
                    <w:bottom w:w="15" w:type="dxa"/>
                    <w:right w:w="15" w:type="dxa"/>
                  </w:tcMar>
                  <w:vAlign w:val="center"/>
                </w:tcPr>
                <w:p w14:paraId="4FB267FA" w14:textId="77777777" w:rsidR="001E3BE7" w:rsidRPr="00A37305" w:rsidRDefault="001E3BE7" w:rsidP="001E3BE7">
                  <w:pPr>
                    <w:spacing w:after="0" w:line="240" w:lineRule="auto"/>
                    <w:ind w:left="60"/>
                    <w:jc w:val="both"/>
                    <w:rPr>
                      <w:rFonts w:eastAsia="Calibri" w:cstheme="minorHAnsi"/>
                      <w:color w:val="444444"/>
                      <w:lang w:eastAsia="cs-CZ"/>
                    </w:rPr>
                  </w:pPr>
                  <w:r w:rsidRPr="00606786">
                    <w:rPr>
                      <w:rFonts w:eastAsia="Calibri" w:cstheme="minorHAnsi"/>
                      <w:color w:val="444444"/>
                      <w:u w:val="single"/>
                      <w:lang w:eastAsia="cs-CZ"/>
                    </w:rPr>
                    <w:t>Kdo při sjednávání úvěrové smlouvy nebo při čerpání úvěru uvede nepravdivé nebo hrubě zkreslené údaje nebo podstatné údaje zamlčí, bude potrestán odnětím svobody až na dvě léta nebo zákazem činnosti</w:t>
                  </w:r>
                  <w:r w:rsidR="00853F60" w:rsidRPr="00A37305">
                    <w:rPr>
                      <w:rFonts w:eastAsia="Calibri" w:cstheme="minorHAnsi"/>
                      <w:color w:val="444444"/>
                      <w:lang w:eastAsia="cs-CZ"/>
                    </w:rPr>
                    <w:t>.</w:t>
                  </w:r>
                </w:p>
              </w:tc>
            </w:tr>
            <w:tr w:rsidR="001E3BE7" w:rsidRPr="00735C61" w14:paraId="51E71E7D" w14:textId="77777777" w:rsidTr="00D719AE">
              <w:trPr>
                <w:trHeight w:val="30"/>
                <w:tblCellSpacing w:w="0" w:type="dxa"/>
              </w:trPr>
              <w:tc>
                <w:tcPr>
                  <w:tcW w:w="640" w:type="dxa"/>
                  <w:tcMar>
                    <w:top w:w="30" w:type="dxa"/>
                    <w:left w:w="15" w:type="dxa"/>
                    <w:bottom w:w="15" w:type="dxa"/>
                    <w:right w:w="15" w:type="dxa"/>
                  </w:tcMar>
                </w:tcPr>
                <w:p w14:paraId="15909DE6" w14:textId="77777777" w:rsidR="001E3BE7" w:rsidRPr="00A37305" w:rsidRDefault="00853F60" w:rsidP="001E3BE7">
                  <w:pPr>
                    <w:spacing w:after="0" w:line="240" w:lineRule="auto"/>
                    <w:ind w:left="60"/>
                    <w:jc w:val="both"/>
                    <w:rPr>
                      <w:rFonts w:eastAsia="Calibri" w:cstheme="minorHAnsi"/>
                      <w:color w:val="444444"/>
                      <w:lang w:eastAsia="cs-CZ"/>
                    </w:rPr>
                  </w:pPr>
                  <w:r w:rsidRPr="00A37305">
                    <w:rPr>
                      <w:rFonts w:eastAsia="Calibri" w:cstheme="minorHAnsi"/>
                      <w:b/>
                      <w:color w:val="444444"/>
                      <w:lang w:eastAsia="cs-CZ"/>
                    </w:rPr>
                    <w:t>(2)</w:t>
                  </w:r>
                </w:p>
              </w:tc>
              <w:tc>
                <w:tcPr>
                  <w:tcW w:w="17335" w:type="dxa"/>
                  <w:tcMar>
                    <w:top w:w="30" w:type="dxa"/>
                    <w:left w:w="60" w:type="dxa"/>
                    <w:bottom w:w="15" w:type="dxa"/>
                    <w:right w:w="15" w:type="dxa"/>
                  </w:tcMar>
                  <w:vAlign w:val="center"/>
                </w:tcPr>
                <w:p w14:paraId="680639DF" w14:textId="77777777" w:rsidR="001E3BE7" w:rsidRPr="00A37305" w:rsidRDefault="00853F60" w:rsidP="001E3BE7">
                  <w:pPr>
                    <w:spacing w:after="0" w:line="240" w:lineRule="auto"/>
                    <w:ind w:left="60"/>
                    <w:jc w:val="both"/>
                    <w:rPr>
                      <w:rFonts w:eastAsia="Calibri" w:cstheme="minorHAnsi"/>
                      <w:color w:val="444444"/>
                      <w:lang w:eastAsia="cs-CZ"/>
                    </w:rPr>
                  </w:pPr>
                  <w:r w:rsidRPr="00A37305">
                    <w:rPr>
                      <w:rFonts w:eastAsia="Calibri" w:cstheme="minorHAnsi"/>
                      <w:color w:val="444444"/>
                      <w:lang w:eastAsia="cs-CZ"/>
                    </w:rPr>
                    <w:t>Stejně bude potrestán, kdo bez souhlasu věřitele, v nikoli malém rozsahu, použije prostředky získané účelovým úvěrem na jiný než určený účel.</w:t>
                  </w:r>
                </w:p>
              </w:tc>
            </w:tr>
            <w:tr w:rsidR="001E3BE7" w:rsidRPr="00735C61" w14:paraId="5655A002" w14:textId="77777777" w:rsidTr="00D719AE">
              <w:trPr>
                <w:trHeight w:val="30"/>
                <w:tblCellSpacing w:w="0" w:type="dxa"/>
              </w:trPr>
              <w:tc>
                <w:tcPr>
                  <w:tcW w:w="640" w:type="dxa"/>
                  <w:tcMar>
                    <w:top w:w="30" w:type="dxa"/>
                    <w:left w:w="15" w:type="dxa"/>
                    <w:bottom w:w="15" w:type="dxa"/>
                    <w:right w:w="15" w:type="dxa"/>
                  </w:tcMar>
                </w:tcPr>
                <w:p w14:paraId="2A8992A1" w14:textId="77777777" w:rsidR="001E3BE7" w:rsidRPr="00A37305" w:rsidRDefault="00853F60" w:rsidP="001E3BE7">
                  <w:pPr>
                    <w:spacing w:after="0" w:line="240" w:lineRule="auto"/>
                    <w:ind w:left="60"/>
                    <w:jc w:val="both"/>
                    <w:rPr>
                      <w:rFonts w:eastAsia="Calibri" w:cstheme="minorHAnsi"/>
                      <w:color w:val="444444"/>
                      <w:lang w:eastAsia="cs-CZ"/>
                    </w:rPr>
                  </w:pPr>
                  <w:r w:rsidRPr="00A37305">
                    <w:rPr>
                      <w:rFonts w:eastAsia="Calibri" w:cstheme="minorHAnsi"/>
                      <w:b/>
                      <w:color w:val="444444"/>
                      <w:lang w:eastAsia="cs-CZ"/>
                    </w:rPr>
                    <w:t>(3)</w:t>
                  </w:r>
                </w:p>
              </w:tc>
              <w:tc>
                <w:tcPr>
                  <w:tcW w:w="17335" w:type="dxa"/>
                  <w:tcMar>
                    <w:top w:w="30" w:type="dxa"/>
                    <w:left w:w="60" w:type="dxa"/>
                    <w:bottom w:w="15" w:type="dxa"/>
                    <w:right w:w="15" w:type="dxa"/>
                  </w:tcMar>
                  <w:vAlign w:val="center"/>
                </w:tcPr>
                <w:p w14:paraId="7ACAEF92" w14:textId="77777777" w:rsidR="001E3BE7" w:rsidRPr="00A37305" w:rsidRDefault="00853F60" w:rsidP="001E3BE7">
                  <w:pPr>
                    <w:spacing w:after="0" w:line="240" w:lineRule="auto"/>
                    <w:ind w:left="60"/>
                    <w:jc w:val="both"/>
                    <w:rPr>
                      <w:rFonts w:eastAsia="Calibri" w:cstheme="minorHAnsi"/>
                      <w:color w:val="444444"/>
                      <w:lang w:eastAsia="cs-CZ"/>
                    </w:rPr>
                  </w:pPr>
                  <w:r w:rsidRPr="00A37305">
                    <w:rPr>
                      <w:rFonts w:eastAsia="Calibri" w:cstheme="minorHAnsi"/>
                      <w:color w:val="444444"/>
                      <w:lang w:eastAsia="cs-CZ"/>
                    </w:rPr>
                    <w:t>Odnětím svobody na šest měsíců až tři léta bude pachatel potrestán, spáchá-li čin uvedený v odstavci 1 nebo 2 a byl-li za takový čin v posledních třech letech odsouzen nebo potrestán.</w:t>
                  </w:r>
                </w:p>
              </w:tc>
            </w:tr>
            <w:tr w:rsidR="001E3BE7" w:rsidRPr="00735C61" w14:paraId="658E03F4" w14:textId="77777777" w:rsidTr="00D719AE">
              <w:trPr>
                <w:trHeight w:val="30"/>
                <w:tblCellSpacing w:w="0" w:type="dxa"/>
              </w:trPr>
              <w:tc>
                <w:tcPr>
                  <w:tcW w:w="640" w:type="dxa"/>
                  <w:tcMar>
                    <w:top w:w="30" w:type="dxa"/>
                    <w:left w:w="15" w:type="dxa"/>
                    <w:bottom w:w="15" w:type="dxa"/>
                    <w:right w:w="15" w:type="dxa"/>
                  </w:tcMar>
                </w:tcPr>
                <w:p w14:paraId="2DE86331" w14:textId="77777777" w:rsidR="001E3BE7" w:rsidRPr="00A37305" w:rsidRDefault="00853F60" w:rsidP="001E3BE7">
                  <w:pPr>
                    <w:spacing w:after="0" w:line="240" w:lineRule="auto"/>
                    <w:ind w:left="60"/>
                    <w:jc w:val="both"/>
                    <w:rPr>
                      <w:rFonts w:eastAsia="Calibri" w:cstheme="minorHAnsi"/>
                      <w:color w:val="444444"/>
                      <w:lang w:eastAsia="cs-CZ"/>
                    </w:rPr>
                  </w:pPr>
                  <w:r w:rsidRPr="00A37305">
                    <w:rPr>
                      <w:rFonts w:eastAsia="Calibri" w:cstheme="minorHAnsi"/>
                      <w:b/>
                      <w:color w:val="444444"/>
                      <w:lang w:eastAsia="cs-CZ"/>
                    </w:rPr>
                    <w:t>(4)</w:t>
                  </w:r>
                </w:p>
              </w:tc>
              <w:tc>
                <w:tcPr>
                  <w:tcW w:w="17335" w:type="dxa"/>
                  <w:tcMar>
                    <w:top w:w="30" w:type="dxa"/>
                    <w:left w:w="60" w:type="dxa"/>
                    <w:bottom w:w="15" w:type="dxa"/>
                    <w:right w:w="15" w:type="dxa"/>
                  </w:tcMar>
                  <w:vAlign w:val="center"/>
                </w:tcPr>
                <w:p w14:paraId="473208F2" w14:textId="77777777" w:rsidR="001E3BE7" w:rsidRPr="00A37305" w:rsidRDefault="00853F60" w:rsidP="001E3BE7">
                  <w:pPr>
                    <w:spacing w:after="0" w:line="240" w:lineRule="auto"/>
                    <w:ind w:left="60"/>
                    <w:jc w:val="both"/>
                    <w:rPr>
                      <w:rFonts w:eastAsia="Calibri" w:cstheme="minorHAnsi"/>
                      <w:color w:val="444444"/>
                      <w:lang w:eastAsia="cs-CZ"/>
                    </w:rPr>
                  </w:pPr>
                  <w:r w:rsidRPr="00A37305">
                    <w:rPr>
                      <w:rFonts w:eastAsia="Calibri" w:cstheme="minorHAnsi"/>
                      <w:color w:val="444444"/>
                      <w:lang w:eastAsia="cs-CZ"/>
                    </w:rPr>
                    <w:t>Odnětím svobody na jeden rok až pět let nebo peněžitým trestem bude pachatel potrestán, způsobí-li činem uvedeným v odstavci 1 nebo 2 větší škodu.</w:t>
                  </w:r>
                </w:p>
              </w:tc>
            </w:tr>
            <w:tr w:rsidR="001E3BE7" w:rsidRPr="00735C61" w14:paraId="12B27DA3" w14:textId="77777777" w:rsidTr="00D719AE">
              <w:trPr>
                <w:trHeight w:val="30"/>
                <w:tblCellSpacing w:w="0" w:type="dxa"/>
              </w:trPr>
              <w:tc>
                <w:tcPr>
                  <w:tcW w:w="640" w:type="dxa"/>
                  <w:tcMar>
                    <w:top w:w="30" w:type="dxa"/>
                    <w:left w:w="15" w:type="dxa"/>
                    <w:bottom w:w="15" w:type="dxa"/>
                    <w:right w:w="15" w:type="dxa"/>
                  </w:tcMar>
                </w:tcPr>
                <w:p w14:paraId="143A91E4" w14:textId="77777777" w:rsidR="001E3BE7" w:rsidRPr="00A37305" w:rsidRDefault="00853F60" w:rsidP="001E3BE7">
                  <w:pPr>
                    <w:spacing w:after="0" w:line="240" w:lineRule="auto"/>
                    <w:ind w:left="60"/>
                    <w:jc w:val="both"/>
                    <w:rPr>
                      <w:rFonts w:eastAsia="Calibri" w:cstheme="minorHAnsi"/>
                      <w:color w:val="444444"/>
                      <w:lang w:eastAsia="cs-CZ"/>
                    </w:rPr>
                  </w:pPr>
                  <w:r w:rsidRPr="00A37305">
                    <w:rPr>
                      <w:rFonts w:eastAsia="Calibri" w:cstheme="minorHAnsi"/>
                      <w:b/>
                      <w:color w:val="444444"/>
                      <w:lang w:eastAsia="cs-CZ"/>
                    </w:rPr>
                    <w:t>(5)</w:t>
                  </w:r>
                </w:p>
              </w:tc>
              <w:tc>
                <w:tcPr>
                  <w:tcW w:w="17335" w:type="dxa"/>
                  <w:tcMar>
                    <w:top w:w="30" w:type="dxa"/>
                    <w:left w:w="60" w:type="dxa"/>
                    <w:bottom w:w="15" w:type="dxa"/>
                    <w:right w:w="15" w:type="dxa"/>
                  </w:tcMar>
                  <w:vAlign w:val="center"/>
                </w:tcPr>
                <w:p w14:paraId="25FBA109" w14:textId="77777777" w:rsidR="001E3BE7" w:rsidRPr="00A37305" w:rsidRDefault="00853F60" w:rsidP="001E3BE7">
                  <w:pPr>
                    <w:spacing w:after="0" w:line="240" w:lineRule="auto"/>
                    <w:ind w:left="60"/>
                    <w:jc w:val="both"/>
                    <w:rPr>
                      <w:rFonts w:eastAsia="Calibri" w:cstheme="minorHAnsi"/>
                      <w:color w:val="444444"/>
                      <w:lang w:eastAsia="cs-CZ"/>
                    </w:rPr>
                  </w:pPr>
                  <w:r w:rsidRPr="00A37305">
                    <w:rPr>
                      <w:rFonts w:eastAsia="Calibri" w:cstheme="minorHAnsi"/>
                      <w:color w:val="444444"/>
                      <w:lang w:eastAsia="cs-CZ"/>
                    </w:rPr>
                    <w:t>Odnětím svobody na dvě léta až osm let bude pachatel potrestán,</w:t>
                  </w:r>
                </w:p>
                <w:tbl>
                  <w:tblPr>
                    <w:tblW w:w="0" w:type="auto"/>
                    <w:tblCellSpacing w:w="0" w:type="dxa"/>
                    <w:tblLook w:val="04A0" w:firstRow="1" w:lastRow="0" w:firstColumn="1" w:lastColumn="0" w:noHBand="0" w:noVBand="1"/>
                  </w:tblPr>
                  <w:tblGrid>
                    <w:gridCol w:w="425"/>
                    <w:gridCol w:w="7602"/>
                  </w:tblGrid>
                  <w:tr w:rsidR="001E3BE7" w:rsidRPr="00735C61" w14:paraId="4EA8BEED" w14:textId="77777777" w:rsidTr="00D719AE">
                    <w:trPr>
                      <w:trHeight w:val="30"/>
                      <w:tblCellSpacing w:w="0" w:type="dxa"/>
                    </w:trPr>
                    <w:tc>
                      <w:tcPr>
                        <w:tcW w:w="640" w:type="dxa"/>
                        <w:tcMar>
                          <w:top w:w="30" w:type="dxa"/>
                          <w:left w:w="15" w:type="dxa"/>
                          <w:bottom w:w="15" w:type="dxa"/>
                          <w:right w:w="15" w:type="dxa"/>
                        </w:tcMar>
                      </w:tcPr>
                      <w:p w14:paraId="415D9B81" w14:textId="77777777" w:rsidR="001E3BE7" w:rsidRPr="00A37305" w:rsidRDefault="00853F60" w:rsidP="001E3BE7">
                        <w:pPr>
                          <w:spacing w:after="0" w:line="240" w:lineRule="auto"/>
                          <w:ind w:left="60"/>
                          <w:jc w:val="both"/>
                          <w:rPr>
                            <w:rFonts w:eastAsia="Calibri" w:cstheme="minorHAnsi"/>
                            <w:color w:val="444444"/>
                            <w:lang w:eastAsia="cs-CZ"/>
                          </w:rPr>
                        </w:pPr>
                        <w:r w:rsidRPr="00A37305">
                          <w:rPr>
                            <w:rFonts w:eastAsia="Calibri" w:cstheme="minorHAnsi"/>
                            <w:b/>
                            <w:color w:val="444444"/>
                            <w:lang w:eastAsia="cs-CZ"/>
                          </w:rPr>
                          <w:t>a)</w:t>
                        </w:r>
                      </w:p>
                    </w:tc>
                    <w:tc>
                      <w:tcPr>
                        <w:tcW w:w="16615" w:type="dxa"/>
                        <w:tcMar>
                          <w:top w:w="30" w:type="dxa"/>
                          <w:left w:w="60" w:type="dxa"/>
                          <w:bottom w:w="15" w:type="dxa"/>
                          <w:right w:w="15" w:type="dxa"/>
                        </w:tcMar>
                        <w:vAlign w:val="center"/>
                      </w:tcPr>
                      <w:p w14:paraId="3F237769" w14:textId="77777777" w:rsidR="001E3BE7" w:rsidRPr="00A37305" w:rsidRDefault="00853F60" w:rsidP="001E3BE7">
                        <w:pPr>
                          <w:spacing w:after="0" w:line="240" w:lineRule="auto"/>
                          <w:ind w:left="60"/>
                          <w:jc w:val="both"/>
                          <w:rPr>
                            <w:rFonts w:eastAsia="Calibri" w:cstheme="minorHAnsi"/>
                            <w:color w:val="444444"/>
                            <w:lang w:eastAsia="cs-CZ"/>
                          </w:rPr>
                        </w:pPr>
                        <w:r w:rsidRPr="00A37305">
                          <w:rPr>
                            <w:rFonts w:eastAsia="Calibri" w:cstheme="minorHAnsi"/>
                            <w:color w:val="444444"/>
                            <w:lang w:eastAsia="cs-CZ"/>
                          </w:rPr>
                          <w:t>spáchá-li čin uvedený v odstavci 1 nebo 2 jako člen organizované skupiny,</w:t>
                        </w:r>
                      </w:p>
                    </w:tc>
                  </w:tr>
                  <w:tr w:rsidR="001E3BE7" w:rsidRPr="00735C61" w14:paraId="379AAFA8" w14:textId="77777777" w:rsidTr="00D719AE">
                    <w:trPr>
                      <w:trHeight w:val="30"/>
                      <w:tblCellSpacing w:w="0" w:type="dxa"/>
                    </w:trPr>
                    <w:tc>
                      <w:tcPr>
                        <w:tcW w:w="640" w:type="dxa"/>
                        <w:tcMar>
                          <w:top w:w="30" w:type="dxa"/>
                          <w:left w:w="15" w:type="dxa"/>
                          <w:bottom w:w="15" w:type="dxa"/>
                          <w:right w:w="15" w:type="dxa"/>
                        </w:tcMar>
                      </w:tcPr>
                      <w:p w14:paraId="3AB16463" w14:textId="77777777" w:rsidR="001E3BE7" w:rsidRPr="00A37305" w:rsidRDefault="00853F60" w:rsidP="001E3BE7">
                        <w:pPr>
                          <w:spacing w:after="0" w:line="240" w:lineRule="auto"/>
                          <w:ind w:left="60"/>
                          <w:jc w:val="both"/>
                          <w:rPr>
                            <w:rFonts w:eastAsia="Calibri" w:cstheme="minorHAnsi"/>
                            <w:color w:val="444444"/>
                            <w:lang w:eastAsia="cs-CZ"/>
                          </w:rPr>
                        </w:pPr>
                        <w:r w:rsidRPr="00A37305">
                          <w:rPr>
                            <w:rFonts w:eastAsia="Calibri" w:cstheme="minorHAnsi"/>
                            <w:b/>
                            <w:color w:val="444444"/>
                            <w:lang w:eastAsia="cs-CZ"/>
                          </w:rPr>
                          <w:t>b)</w:t>
                        </w:r>
                      </w:p>
                    </w:tc>
                    <w:tc>
                      <w:tcPr>
                        <w:tcW w:w="16615" w:type="dxa"/>
                        <w:tcMar>
                          <w:top w:w="30" w:type="dxa"/>
                          <w:left w:w="60" w:type="dxa"/>
                          <w:bottom w:w="15" w:type="dxa"/>
                          <w:right w:w="15" w:type="dxa"/>
                        </w:tcMar>
                        <w:vAlign w:val="center"/>
                      </w:tcPr>
                      <w:p w14:paraId="4264FF15" w14:textId="77777777" w:rsidR="001E3BE7" w:rsidRPr="00A37305" w:rsidRDefault="00853F60" w:rsidP="001E3BE7">
                        <w:pPr>
                          <w:spacing w:after="0" w:line="240" w:lineRule="auto"/>
                          <w:ind w:left="60"/>
                          <w:jc w:val="both"/>
                          <w:rPr>
                            <w:rFonts w:eastAsia="Calibri" w:cstheme="minorHAnsi"/>
                            <w:color w:val="444444"/>
                            <w:lang w:eastAsia="cs-CZ"/>
                          </w:rPr>
                        </w:pPr>
                        <w:r w:rsidRPr="00A37305">
                          <w:rPr>
                            <w:rFonts w:eastAsia="Calibri" w:cstheme="minorHAnsi"/>
                            <w:color w:val="444444"/>
                            <w:lang w:eastAsia="cs-CZ"/>
                          </w:rPr>
                          <w:t>spáchá-li takový čin jako osoba, která má zvlášť uloženou povinnost hájit zájmy poškozeného, nebo</w:t>
                        </w:r>
                      </w:p>
                    </w:tc>
                  </w:tr>
                  <w:tr w:rsidR="001E3BE7" w:rsidRPr="00735C61" w14:paraId="087F4BA2" w14:textId="77777777" w:rsidTr="00D719AE">
                    <w:trPr>
                      <w:trHeight w:val="30"/>
                      <w:tblCellSpacing w:w="0" w:type="dxa"/>
                    </w:trPr>
                    <w:tc>
                      <w:tcPr>
                        <w:tcW w:w="640" w:type="dxa"/>
                        <w:tcMar>
                          <w:top w:w="30" w:type="dxa"/>
                          <w:left w:w="15" w:type="dxa"/>
                          <w:bottom w:w="15" w:type="dxa"/>
                          <w:right w:w="15" w:type="dxa"/>
                        </w:tcMar>
                      </w:tcPr>
                      <w:p w14:paraId="44519081" w14:textId="77777777" w:rsidR="001E3BE7" w:rsidRPr="00A37305" w:rsidRDefault="00853F60" w:rsidP="001E3BE7">
                        <w:pPr>
                          <w:spacing w:after="0" w:line="240" w:lineRule="auto"/>
                          <w:ind w:left="60"/>
                          <w:jc w:val="both"/>
                          <w:rPr>
                            <w:rFonts w:eastAsia="Calibri" w:cstheme="minorHAnsi"/>
                            <w:color w:val="444444"/>
                            <w:lang w:eastAsia="cs-CZ"/>
                          </w:rPr>
                        </w:pPr>
                        <w:r w:rsidRPr="00A37305">
                          <w:rPr>
                            <w:rFonts w:eastAsia="Calibri" w:cstheme="minorHAnsi"/>
                            <w:b/>
                            <w:color w:val="444444"/>
                            <w:lang w:eastAsia="cs-CZ"/>
                          </w:rPr>
                          <w:t>c)</w:t>
                        </w:r>
                      </w:p>
                    </w:tc>
                    <w:tc>
                      <w:tcPr>
                        <w:tcW w:w="16615" w:type="dxa"/>
                        <w:tcMar>
                          <w:top w:w="30" w:type="dxa"/>
                          <w:left w:w="60" w:type="dxa"/>
                          <w:bottom w:w="15" w:type="dxa"/>
                          <w:right w:w="15" w:type="dxa"/>
                        </w:tcMar>
                        <w:vAlign w:val="center"/>
                      </w:tcPr>
                      <w:p w14:paraId="082181DA" w14:textId="77777777" w:rsidR="001E3BE7" w:rsidRPr="00A37305" w:rsidRDefault="00853F60" w:rsidP="001E3BE7">
                        <w:pPr>
                          <w:spacing w:after="0" w:line="240" w:lineRule="auto"/>
                          <w:ind w:left="60"/>
                          <w:jc w:val="both"/>
                          <w:rPr>
                            <w:rFonts w:eastAsia="Calibri" w:cstheme="minorHAnsi"/>
                            <w:color w:val="444444"/>
                            <w:lang w:eastAsia="cs-CZ"/>
                          </w:rPr>
                        </w:pPr>
                        <w:r w:rsidRPr="00A37305">
                          <w:rPr>
                            <w:rFonts w:eastAsia="Calibri" w:cstheme="minorHAnsi"/>
                            <w:color w:val="444444"/>
                            <w:lang w:eastAsia="cs-CZ"/>
                          </w:rPr>
                          <w:t>způsobí-li takovým činem značnou škodu.</w:t>
                        </w:r>
                      </w:p>
                    </w:tc>
                  </w:tr>
                </w:tbl>
                <w:p w14:paraId="16854B9D" w14:textId="77777777" w:rsidR="001E3BE7" w:rsidRPr="00A37305" w:rsidRDefault="001E3BE7" w:rsidP="001E3BE7">
                  <w:pPr>
                    <w:spacing w:after="0" w:line="240" w:lineRule="auto"/>
                    <w:ind w:left="60"/>
                    <w:jc w:val="both"/>
                    <w:rPr>
                      <w:rFonts w:eastAsia="Calibri" w:cstheme="minorHAnsi"/>
                      <w:color w:val="444444"/>
                      <w:lang w:eastAsia="cs-CZ"/>
                    </w:rPr>
                  </w:pPr>
                </w:p>
              </w:tc>
            </w:tr>
            <w:tr w:rsidR="001E3BE7" w:rsidRPr="00735C61" w14:paraId="164503CC" w14:textId="77777777" w:rsidTr="00D719AE">
              <w:trPr>
                <w:trHeight w:val="30"/>
                <w:tblCellSpacing w:w="0" w:type="dxa"/>
              </w:trPr>
              <w:tc>
                <w:tcPr>
                  <w:tcW w:w="640" w:type="dxa"/>
                  <w:tcMar>
                    <w:top w:w="30" w:type="dxa"/>
                    <w:left w:w="15" w:type="dxa"/>
                    <w:bottom w:w="15" w:type="dxa"/>
                    <w:right w:w="15" w:type="dxa"/>
                  </w:tcMar>
                </w:tcPr>
                <w:p w14:paraId="648A8126" w14:textId="77777777" w:rsidR="001E3BE7" w:rsidRPr="00A37305" w:rsidRDefault="00853F60" w:rsidP="001E3BE7">
                  <w:pPr>
                    <w:spacing w:after="0" w:line="240" w:lineRule="auto"/>
                    <w:ind w:left="60"/>
                    <w:jc w:val="both"/>
                    <w:rPr>
                      <w:rFonts w:eastAsia="Calibri" w:cstheme="minorHAnsi"/>
                      <w:color w:val="444444"/>
                      <w:lang w:eastAsia="cs-CZ"/>
                    </w:rPr>
                  </w:pPr>
                  <w:r w:rsidRPr="00A37305">
                    <w:rPr>
                      <w:rFonts w:eastAsia="Calibri" w:cstheme="minorHAnsi"/>
                      <w:b/>
                      <w:color w:val="444444"/>
                      <w:lang w:eastAsia="cs-CZ"/>
                    </w:rPr>
                    <w:t>(6)</w:t>
                  </w:r>
                </w:p>
              </w:tc>
              <w:tc>
                <w:tcPr>
                  <w:tcW w:w="17335" w:type="dxa"/>
                  <w:tcMar>
                    <w:top w:w="30" w:type="dxa"/>
                    <w:left w:w="60" w:type="dxa"/>
                    <w:bottom w:w="15" w:type="dxa"/>
                    <w:right w:w="15" w:type="dxa"/>
                  </w:tcMar>
                  <w:vAlign w:val="center"/>
                </w:tcPr>
                <w:p w14:paraId="30896BB8" w14:textId="77777777" w:rsidR="001E3BE7" w:rsidRPr="00A37305" w:rsidRDefault="001E3BE7" w:rsidP="001E3BE7">
                  <w:pPr>
                    <w:spacing w:after="0" w:line="240" w:lineRule="auto"/>
                    <w:ind w:left="60"/>
                    <w:jc w:val="both"/>
                    <w:rPr>
                      <w:rFonts w:eastAsia="Calibri" w:cstheme="minorHAnsi"/>
                      <w:color w:val="444444"/>
                      <w:lang w:eastAsia="cs-CZ"/>
                    </w:rPr>
                  </w:pPr>
                  <w:r w:rsidRPr="00606786">
                    <w:rPr>
                      <w:rFonts w:eastAsia="Calibri" w:cstheme="minorHAnsi"/>
                      <w:color w:val="444444"/>
                      <w:u w:val="single"/>
                      <w:lang w:eastAsia="cs-CZ"/>
                    </w:rPr>
                    <w:t>Odnětím svobody na pět až deset let bude pachatel potrestán</w:t>
                  </w:r>
                  <w:r w:rsidR="00853F60" w:rsidRPr="00A37305">
                    <w:rPr>
                      <w:rFonts w:eastAsia="Calibri" w:cstheme="minorHAnsi"/>
                      <w:color w:val="444444"/>
                      <w:lang w:eastAsia="cs-CZ"/>
                    </w:rPr>
                    <w:t>,</w:t>
                  </w:r>
                </w:p>
                <w:tbl>
                  <w:tblPr>
                    <w:tblW w:w="0" w:type="auto"/>
                    <w:tblCellSpacing w:w="0" w:type="dxa"/>
                    <w:tblLook w:val="04A0" w:firstRow="1" w:lastRow="0" w:firstColumn="1" w:lastColumn="0" w:noHBand="0" w:noVBand="1"/>
                  </w:tblPr>
                  <w:tblGrid>
                    <w:gridCol w:w="425"/>
                    <w:gridCol w:w="7602"/>
                  </w:tblGrid>
                  <w:tr w:rsidR="001E3BE7" w:rsidRPr="00735C61" w14:paraId="25D50723" w14:textId="77777777" w:rsidTr="00D719AE">
                    <w:trPr>
                      <w:trHeight w:val="30"/>
                      <w:tblCellSpacing w:w="0" w:type="dxa"/>
                    </w:trPr>
                    <w:tc>
                      <w:tcPr>
                        <w:tcW w:w="640" w:type="dxa"/>
                        <w:tcMar>
                          <w:top w:w="30" w:type="dxa"/>
                          <w:left w:w="15" w:type="dxa"/>
                          <w:bottom w:w="15" w:type="dxa"/>
                          <w:right w:w="15" w:type="dxa"/>
                        </w:tcMar>
                      </w:tcPr>
                      <w:p w14:paraId="22F62E50" w14:textId="77777777" w:rsidR="001E3BE7" w:rsidRPr="00A37305" w:rsidRDefault="00853F60" w:rsidP="001E3BE7">
                        <w:pPr>
                          <w:spacing w:after="0" w:line="240" w:lineRule="auto"/>
                          <w:ind w:left="60"/>
                          <w:jc w:val="both"/>
                          <w:rPr>
                            <w:rFonts w:eastAsia="Calibri" w:cstheme="minorHAnsi"/>
                            <w:color w:val="444444"/>
                            <w:lang w:eastAsia="cs-CZ"/>
                          </w:rPr>
                        </w:pPr>
                        <w:r w:rsidRPr="00A37305">
                          <w:rPr>
                            <w:rFonts w:eastAsia="Calibri" w:cstheme="minorHAnsi"/>
                            <w:b/>
                            <w:color w:val="444444"/>
                            <w:lang w:eastAsia="cs-CZ"/>
                          </w:rPr>
                          <w:t>a)</w:t>
                        </w:r>
                      </w:p>
                    </w:tc>
                    <w:tc>
                      <w:tcPr>
                        <w:tcW w:w="16615" w:type="dxa"/>
                        <w:tcMar>
                          <w:top w:w="30" w:type="dxa"/>
                          <w:left w:w="60" w:type="dxa"/>
                          <w:bottom w:w="15" w:type="dxa"/>
                          <w:right w:w="15" w:type="dxa"/>
                        </w:tcMar>
                        <w:vAlign w:val="center"/>
                      </w:tcPr>
                      <w:p w14:paraId="595B7CF1" w14:textId="77777777" w:rsidR="001E3BE7" w:rsidRPr="00606786" w:rsidRDefault="001E3BE7" w:rsidP="001E3BE7">
                        <w:pPr>
                          <w:spacing w:after="0" w:line="240" w:lineRule="auto"/>
                          <w:ind w:left="60"/>
                          <w:jc w:val="both"/>
                          <w:rPr>
                            <w:rFonts w:eastAsia="Calibri" w:cstheme="minorHAnsi"/>
                            <w:color w:val="444444"/>
                            <w:u w:val="single"/>
                            <w:lang w:eastAsia="cs-CZ"/>
                          </w:rPr>
                        </w:pPr>
                        <w:r w:rsidRPr="00606786">
                          <w:rPr>
                            <w:rFonts w:eastAsia="Calibri" w:cstheme="minorHAnsi"/>
                            <w:color w:val="444444"/>
                            <w:u w:val="single"/>
                            <w:lang w:eastAsia="cs-CZ"/>
                          </w:rPr>
                          <w:t>způsobí-li činem uvedeným v odstavci 1 nebo 2 škodu velkého rozsahu, nebo</w:t>
                        </w:r>
                      </w:p>
                    </w:tc>
                  </w:tr>
                  <w:tr w:rsidR="001E3BE7" w:rsidRPr="00735C61" w14:paraId="1E5016C5" w14:textId="77777777" w:rsidTr="00D719AE">
                    <w:trPr>
                      <w:trHeight w:val="30"/>
                      <w:tblCellSpacing w:w="0" w:type="dxa"/>
                    </w:trPr>
                    <w:tc>
                      <w:tcPr>
                        <w:tcW w:w="640" w:type="dxa"/>
                        <w:tcMar>
                          <w:top w:w="30" w:type="dxa"/>
                          <w:left w:w="15" w:type="dxa"/>
                          <w:bottom w:w="15" w:type="dxa"/>
                          <w:right w:w="15" w:type="dxa"/>
                        </w:tcMar>
                      </w:tcPr>
                      <w:p w14:paraId="787F9E88" w14:textId="77777777" w:rsidR="001E3BE7" w:rsidRPr="00A37305" w:rsidRDefault="00853F60" w:rsidP="001E3BE7">
                        <w:pPr>
                          <w:spacing w:after="0" w:line="240" w:lineRule="auto"/>
                          <w:ind w:left="60"/>
                          <w:jc w:val="both"/>
                          <w:rPr>
                            <w:rFonts w:eastAsia="Calibri" w:cstheme="minorHAnsi"/>
                            <w:color w:val="444444"/>
                            <w:lang w:eastAsia="cs-CZ"/>
                          </w:rPr>
                        </w:pPr>
                        <w:r w:rsidRPr="00A37305">
                          <w:rPr>
                            <w:rFonts w:eastAsia="Calibri" w:cstheme="minorHAnsi"/>
                            <w:b/>
                            <w:color w:val="444444"/>
                            <w:lang w:eastAsia="cs-CZ"/>
                          </w:rPr>
                          <w:t>b)</w:t>
                        </w:r>
                      </w:p>
                    </w:tc>
                    <w:tc>
                      <w:tcPr>
                        <w:tcW w:w="16615" w:type="dxa"/>
                        <w:tcMar>
                          <w:top w:w="30" w:type="dxa"/>
                          <w:left w:w="60" w:type="dxa"/>
                          <w:bottom w:w="15" w:type="dxa"/>
                          <w:right w:w="15" w:type="dxa"/>
                        </w:tcMar>
                        <w:vAlign w:val="center"/>
                      </w:tcPr>
                      <w:p w14:paraId="52F1B8EC" w14:textId="77777777" w:rsidR="001E3BE7" w:rsidRPr="00606786" w:rsidRDefault="001E3BE7" w:rsidP="001E3BE7">
                        <w:pPr>
                          <w:spacing w:after="0" w:line="240" w:lineRule="auto"/>
                          <w:ind w:left="60"/>
                          <w:jc w:val="both"/>
                          <w:rPr>
                            <w:rFonts w:eastAsia="Calibri" w:cstheme="minorHAnsi"/>
                            <w:color w:val="444444"/>
                            <w:u w:val="single"/>
                            <w:lang w:eastAsia="cs-CZ"/>
                          </w:rPr>
                        </w:pPr>
                        <w:r w:rsidRPr="00606786">
                          <w:rPr>
                            <w:rFonts w:eastAsia="Calibri" w:cstheme="minorHAnsi"/>
                            <w:color w:val="444444"/>
                            <w:u w:val="single"/>
                            <w:lang w:eastAsia="cs-CZ"/>
                          </w:rPr>
                          <w:t>spáchá-li takový čin v úmyslu umožnit nebo usnadnit spáchání teroristického trestného činu, trestného činu financování terorismu (§ 312d) nebo vyhrožování teroristickým trestným činem (§ 312f).</w:t>
                        </w:r>
                      </w:p>
                    </w:tc>
                  </w:tr>
                </w:tbl>
                <w:p w14:paraId="01863FAA" w14:textId="77777777" w:rsidR="001E3BE7" w:rsidRPr="00A37305" w:rsidRDefault="001E3BE7" w:rsidP="001E3BE7">
                  <w:pPr>
                    <w:spacing w:after="0" w:line="240" w:lineRule="auto"/>
                    <w:ind w:left="60"/>
                    <w:jc w:val="both"/>
                    <w:rPr>
                      <w:rFonts w:eastAsia="Calibri" w:cstheme="minorHAnsi"/>
                      <w:color w:val="444444"/>
                      <w:lang w:eastAsia="cs-CZ"/>
                    </w:rPr>
                  </w:pPr>
                </w:p>
              </w:tc>
            </w:tr>
            <w:tr w:rsidR="001E3BE7" w:rsidRPr="00735C61" w14:paraId="49E6A760" w14:textId="77777777" w:rsidTr="00D719AE">
              <w:trPr>
                <w:trHeight w:val="30"/>
                <w:tblCellSpacing w:w="0" w:type="dxa"/>
              </w:trPr>
              <w:tc>
                <w:tcPr>
                  <w:tcW w:w="640" w:type="dxa"/>
                  <w:tcMar>
                    <w:top w:w="30" w:type="dxa"/>
                    <w:left w:w="15" w:type="dxa"/>
                    <w:bottom w:w="15" w:type="dxa"/>
                    <w:right w:w="15" w:type="dxa"/>
                  </w:tcMar>
                </w:tcPr>
                <w:p w14:paraId="70AF74EF" w14:textId="77777777" w:rsidR="001E3BE7" w:rsidRPr="00A37305" w:rsidRDefault="00853F60" w:rsidP="001E3BE7">
                  <w:pPr>
                    <w:spacing w:after="0" w:line="240" w:lineRule="auto"/>
                    <w:ind w:left="60"/>
                    <w:jc w:val="both"/>
                    <w:rPr>
                      <w:rFonts w:eastAsia="Calibri" w:cstheme="minorHAnsi"/>
                      <w:color w:val="444444"/>
                      <w:lang w:eastAsia="cs-CZ"/>
                    </w:rPr>
                  </w:pPr>
                  <w:r w:rsidRPr="00A37305">
                    <w:rPr>
                      <w:rFonts w:eastAsia="Calibri" w:cstheme="minorHAnsi"/>
                      <w:b/>
                      <w:color w:val="444444"/>
                      <w:lang w:eastAsia="cs-CZ"/>
                    </w:rPr>
                    <w:t>(7)</w:t>
                  </w:r>
                </w:p>
              </w:tc>
              <w:tc>
                <w:tcPr>
                  <w:tcW w:w="17335" w:type="dxa"/>
                  <w:tcMar>
                    <w:top w:w="30" w:type="dxa"/>
                    <w:left w:w="60" w:type="dxa"/>
                    <w:bottom w:w="15" w:type="dxa"/>
                    <w:right w:w="15" w:type="dxa"/>
                  </w:tcMar>
                  <w:vAlign w:val="center"/>
                </w:tcPr>
                <w:p w14:paraId="1625F9A3" w14:textId="77777777" w:rsidR="001E3BE7" w:rsidRPr="00A37305" w:rsidRDefault="001E3BE7" w:rsidP="001E3BE7">
                  <w:pPr>
                    <w:spacing w:after="0" w:line="240" w:lineRule="auto"/>
                    <w:ind w:left="60"/>
                    <w:jc w:val="both"/>
                    <w:rPr>
                      <w:rFonts w:eastAsia="Calibri" w:cstheme="minorHAnsi"/>
                      <w:color w:val="444444"/>
                      <w:lang w:eastAsia="cs-CZ"/>
                    </w:rPr>
                  </w:pPr>
                  <w:r w:rsidRPr="00606786">
                    <w:rPr>
                      <w:rFonts w:eastAsia="Calibri" w:cstheme="minorHAnsi"/>
                      <w:color w:val="444444"/>
                      <w:u w:val="single"/>
                      <w:lang w:eastAsia="cs-CZ"/>
                    </w:rPr>
                    <w:t>Příprava je trestná</w:t>
                  </w:r>
                  <w:r w:rsidR="00853F60" w:rsidRPr="00A37305">
                    <w:rPr>
                      <w:rFonts w:eastAsia="Calibri" w:cstheme="minorHAnsi"/>
                      <w:color w:val="444444"/>
                      <w:lang w:eastAsia="cs-CZ"/>
                    </w:rPr>
                    <w:t>.</w:t>
                  </w:r>
                </w:p>
              </w:tc>
            </w:tr>
          </w:tbl>
          <w:p w14:paraId="30AFDA74" w14:textId="77777777" w:rsidR="001E3BE7" w:rsidRPr="00BD45C0" w:rsidRDefault="001E3BE7" w:rsidP="006C676C">
            <w:pPr>
              <w:spacing w:after="0" w:line="240" w:lineRule="auto"/>
              <w:ind w:left="60"/>
              <w:jc w:val="both"/>
              <w:rPr>
                <w:rFonts w:eastAsia="Calibri" w:cstheme="minorHAnsi"/>
                <w:u w:val="single"/>
                <w:lang w:eastAsia="cs-CZ"/>
              </w:rPr>
            </w:pPr>
          </w:p>
        </w:tc>
      </w:tr>
    </w:tbl>
    <w:p w14:paraId="23DD5FE9" w14:textId="77777777" w:rsidR="009D4A90" w:rsidRDefault="009D4A90" w:rsidP="00D24705">
      <w:pPr>
        <w:spacing w:after="160" w:line="259" w:lineRule="auto"/>
        <w:contextualSpacing/>
        <w:jc w:val="both"/>
        <w:rPr>
          <w:rFonts w:cs="Tahoma"/>
          <w:b/>
          <w:u w:val="single"/>
        </w:rPr>
      </w:pPr>
    </w:p>
    <w:p w14:paraId="7EB54648" w14:textId="77777777" w:rsidR="00D24705" w:rsidRDefault="00D24705" w:rsidP="00D24705">
      <w:pPr>
        <w:spacing w:after="160" w:line="259" w:lineRule="auto"/>
        <w:contextualSpacing/>
        <w:jc w:val="both"/>
        <w:rPr>
          <w:rFonts w:cs="Tahoma"/>
          <w:b/>
          <w:u w:val="single"/>
        </w:rPr>
      </w:pPr>
    </w:p>
    <w:p w14:paraId="0B5633CB" w14:textId="77777777" w:rsidR="00A67A57" w:rsidRDefault="00A67A57" w:rsidP="00D24705">
      <w:pPr>
        <w:spacing w:after="160" w:line="259" w:lineRule="auto"/>
        <w:contextualSpacing/>
        <w:jc w:val="both"/>
        <w:rPr>
          <w:rFonts w:cs="Tahoma"/>
          <w:b/>
          <w:u w:val="single"/>
        </w:rPr>
      </w:pPr>
    </w:p>
    <w:p w14:paraId="050D9B23" w14:textId="77777777" w:rsidR="00256752" w:rsidRDefault="00256752" w:rsidP="00D24705">
      <w:pPr>
        <w:spacing w:after="160" w:line="259" w:lineRule="auto"/>
        <w:contextualSpacing/>
        <w:jc w:val="both"/>
        <w:rPr>
          <w:rFonts w:cs="Tahoma"/>
          <w:b/>
          <w:u w:val="single"/>
        </w:rPr>
      </w:pPr>
    </w:p>
    <w:p w14:paraId="76053D84" w14:textId="77777777" w:rsidR="00853F60" w:rsidRPr="00A37305" w:rsidRDefault="00256752" w:rsidP="00A37305">
      <w:pPr>
        <w:spacing w:after="160" w:line="259" w:lineRule="auto"/>
        <w:contextualSpacing/>
        <w:jc w:val="center"/>
        <w:rPr>
          <w:rFonts w:cs="Tahoma"/>
          <w:b/>
        </w:rPr>
      </w:pPr>
      <w:r>
        <w:rPr>
          <w:rFonts w:cs="Tahoma"/>
          <w:b/>
        </w:rPr>
        <w:lastRenderedPageBreak/>
        <w:t>I</w:t>
      </w:r>
      <w:r w:rsidR="00853F60" w:rsidRPr="00A37305">
        <w:rPr>
          <w:rFonts w:cs="Tahoma"/>
          <w:b/>
        </w:rPr>
        <w:t>V.</w:t>
      </w:r>
    </w:p>
    <w:p w14:paraId="4215ECCF" w14:textId="77777777" w:rsidR="00853F60" w:rsidRDefault="00D24705" w:rsidP="00A37305">
      <w:pPr>
        <w:spacing w:after="160" w:line="259" w:lineRule="auto"/>
        <w:contextualSpacing/>
        <w:jc w:val="center"/>
        <w:rPr>
          <w:rFonts w:cs="Tahoma"/>
          <w:b/>
          <w:u w:val="single"/>
        </w:rPr>
      </w:pPr>
      <w:r>
        <w:rPr>
          <w:rFonts w:cs="Tahoma"/>
          <w:b/>
          <w:u w:val="single"/>
        </w:rPr>
        <w:t>Shrnutí skutkového a právního hodnocení</w:t>
      </w:r>
    </w:p>
    <w:p w14:paraId="5E2AA4C7" w14:textId="77777777" w:rsidR="00256752" w:rsidRPr="00316414" w:rsidRDefault="00256752" w:rsidP="00316414">
      <w:pPr>
        <w:spacing w:after="160" w:line="259" w:lineRule="auto"/>
        <w:jc w:val="both"/>
        <w:rPr>
          <w:rFonts w:cs="Tahoma"/>
          <w:b/>
        </w:rPr>
      </w:pPr>
    </w:p>
    <w:p w14:paraId="25004F7F" w14:textId="2BF27DE2" w:rsidR="003B4C8F" w:rsidRDefault="003B4C8F" w:rsidP="00316414">
      <w:pPr>
        <w:spacing w:after="160" w:line="259" w:lineRule="auto"/>
        <w:jc w:val="both"/>
        <w:rPr>
          <w:rFonts w:cs="Tahoma"/>
          <w:bCs/>
        </w:rPr>
      </w:pPr>
      <w:r>
        <w:rPr>
          <w:rFonts w:cs="Tahoma"/>
          <w:bCs/>
        </w:rPr>
        <w:t>Současná</w:t>
      </w:r>
      <w:r w:rsidR="00161209">
        <w:rPr>
          <w:rFonts w:cs="Tahoma"/>
          <w:bCs/>
        </w:rPr>
        <w:t xml:space="preserve">, zcela nepřiměřeně </w:t>
      </w:r>
      <w:r w:rsidR="006D1A53">
        <w:rPr>
          <w:rFonts w:cs="Tahoma"/>
          <w:bCs/>
        </w:rPr>
        <w:t xml:space="preserve">vysoká </w:t>
      </w:r>
      <w:r>
        <w:rPr>
          <w:rFonts w:cs="Tahoma"/>
          <w:bCs/>
        </w:rPr>
        <w:t>c</w:t>
      </w:r>
      <w:r w:rsidR="00A73B71">
        <w:rPr>
          <w:rFonts w:cs="Tahoma"/>
          <w:bCs/>
        </w:rPr>
        <w:t xml:space="preserve">ena elektrické energie pro koncové </w:t>
      </w:r>
      <w:r w:rsidR="00A226BC">
        <w:rPr>
          <w:rFonts w:cs="Tahoma"/>
          <w:bCs/>
        </w:rPr>
        <w:t>spotřebitele</w:t>
      </w:r>
      <w:r w:rsidR="00B204C4">
        <w:rPr>
          <w:rFonts w:cs="Tahoma"/>
          <w:bCs/>
        </w:rPr>
        <w:t>,</w:t>
      </w:r>
      <w:r w:rsidR="00A73B71">
        <w:rPr>
          <w:rFonts w:cs="Tahoma"/>
          <w:bCs/>
        </w:rPr>
        <w:t xml:space="preserve"> nemá</w:t>
      </w:r>
      <w:r w:rsidR="00A226BC">
        <w:rPr>
          <w:rFonts w:cs="Tahoma"/>
          <w:bCs/>
        </w:rPr>
        <w:t>,</w:t>
      </w:r>
      <w:r w:rsidR="00A73B71">
        <w:rPr>
          <w:rFonts w:cs="Tahoma"/>
          <w:bCs/>
        </w:rPr>
        <w:t xml:space="preserve"> </w:t>
      </w:r>
      <w:r w:rsidR="00B204C4">
        <w:rPr>
          <w:rFonts w:cs="Tahoma"/>
          <w:bCs/>
        </w:rPr>
        <w:t>dle názoru oznamovatele</w:t>
      </w:r>
      <w:r w:rsidR="00A226BC">
        <w:rPr>
          <w:rFonts w:cs="Tahoma"/>
          <w:bCs/>
        </w:rPr>
        <w:t>,</w:t>
      </w:r>
      <w:r w:rsidR="00B204C4">
        <w:rPr>
          <w:rFonts w:cs="Tahoma"/>
          <w:bCs/>
        </w:rPr>
        <w:t xml:space="preserve"> </w:t>
      </w:r>
      <w:r w:rsidR="00A73B71">
        <w:rPr>
          <w:rFonts w:cs="Tahoma"/>
          <w:bCs/>
        </w:rPr>
        <w:t>žádnou oporu v hospodaření společnosti ČEZ ani v</w:t>
      </w:r>
      <w:r>
        <w:rPr>
          <w:rFonts w:cs="Tahoma"/>
          <w:bCs/>
        </w:rPr>
        <w:t xml:space="preserve"> jí </w:t>
      </w:r>
      <w:r w:rsidR="00A73B71">
        <w:rPr>
          <w:rFonts w:cs="Tahoma"/>
          <w:bCs/>
        </w:rPr>
        <w:t xml:space="preserve">účelové tvrzených dopadech </w:t>
      </w:r>
      <w:r>
        <w:rPr>
          <w:rFonts w:cs="Tahoma"/>
          <w:bCs/>
        </w:rPr>
        <w:t xml:space="preserve">tzv. </w:t>
      </w:r>
      <w:r w:rsidR="00A73B71">
        <w:rPr>
          <w:rFonts w:cs="Tahoma"/>
          <w:bCs/>
        </w:rPr>
        <w:t>vnějších vlivů</w:t>
      </w:r>
      <w:r w:rsidR="001F0A74">
        <w:rPr>
          <w:rFonts w:cs="Tahoma"/>
          <w:bCs/>
        </w:rPr>
        <w:t xml:space="preserve">. Její </w:t>
      </w:r>
      <w:r w:rsidR="00A73B71">
        <w:rPr>
          <w:rFonts w:cs="Tahoma"/>
          <w:bCs/>
        </w:rPr>
        <w:t>výrobní cena je dlouhodobě stabilní a</w:t>
      </w:r>
      <w:r w:rsidR="001F0A74">
        <w:rPr>
          <w:rFonts w:cs="Tahoma"/>
          <w:bCs/>
        </w:rPr>
        <w:t xml:space="preserve"> ani </w:t>
      </w:r>
      <w:r>
        <w:rPr>
          <w:rFonts w:cs="Tahoma"/>
          <w:bCs/>
        </w:rPr>
        <w:t>v</w:t>
      </w:r>
      <w:r w:rsidR="00136830">
        <w:rPr>
          <w:rFonts w:cs="Tahoma"/>
          <w:bCs/>
        </w:rPr>
        <w:t> </w:t>
      </w:r>
      <w:r>
        <w:rPr>
          <w:rFonts w:cs="Tahoma"/>
          <w:bCs/>
        </w:rPr>
        <w:t>současn</w:t>
      </w:r>
      <w:r w:rsidR="00136830">
        <w:rPr>
          <w:rFonts w:cs="Tahoma"/>
          <w:bCs/>
        </w:rPr>
        <w:t xml:space="preserve">osti </w:t>
      </w:r>
      <w:r w:rsidR="00A73B71">
        <w:rPr>
          <w:rFonts w:cs="Tahoma"/>
          <w:bCs/>
        </w:rPr>
        <w:t xml:space="preserve">nepřesahuje 45 haléřů na jednu </w:t>
      </w:r>
      <w:r w:rsidR="00B02382">
        <w:rPr>
          <w:rFonts w:cs="Tahoma"/>
          <w:bCs/>
        </w:rPr>
        <w:t>KWh</w:t>
      </w:r>
      <w:r w:rsidR="00136830">
        <w:rPr>
          <w:rFonts w:cs="Tahoma"/>
          <w:bCs/>
        </w:rPr>
        <w:t>. N</w:t>
      </w:r>
      <w:r w:rsidR="00760E3D">
        <w:rPr>
          <w:rFonts w:cs="Tahoma"/>
          <w:bCs/>
        </w:rPr>
        <w:t xml:space="preserve">a tuto výrobní cenu neměly z důvodu skladby energetického mixu </w:t>
      </w:r>
      <w:r w:rsidR="009C2712">
        <w:rPr>
          <w:rFonts w:cs="Tahoma"/>
          <w:bCs/>
        </w:rPr>
        <w:t xml:space="preserve">této společnosti </w:t>
      </w:r>
      <w:r w:rsidR="00760E3D">
        <w:rPr>
          <w:rFonts w:cs="Tahoma"/>
          <w:bCs/>
        </w:rPr>
        <w:t>zásadní vliv ani válečné události na Ukrajině, sankce uvalované na Ruskou federaci či snížené dodávky zemního plynu</w:t>
      </w:r>
      <w:r w:rsidR="00161209">
        <w:rPr>
          <w:rFonts w:cs="Tahoma"/>
          <w:bCs/>
        </w:rPr>
        <w:t xml:space="preserve"> do České republiky</w:t>
      </w:r>
      <w:r w:rsidR="00760E3D">
        <w:rPr>
          <w:rFonts w:cs="Tahoma"/>
          <w:bCs/>
        </w:rPr>
        <w:t xml:space="preserve">. </w:t>
      </w:r>
      <w:r w:rsidR="00B204C4">
        <w:rPr>
          <w:rFonts w:cs="Tahoma"/>
          <w:bCs/>
        </w:rPr>
        <w:t xml:space="preserve">Takový vliv minimálně nelze z veřejně dostupných informací dovodit. </w:t>
      </w:r>
      <w:r w:rsidR="001F0A74" w:rsidRPr="009C2712">
        <w:rPr>
          <w:rFonts w:cs="Tahoma"/>
          <w:b/>
        </w:rPr>
        <w:t xml:space="preserve">Jediným důvodem pro explozivní nárůst </w:t>
      </w:r>
      <w:r w:rsidR="007F4DE1" w:rsidRPr="009C2712">
        <w:rPr>
          <w:rFonts w:cs="Tahoma"/>
          <w:b/>
        </w:rPr>
        <w:t xml:space="preserve">této koncové ceny </w:t>
      </w:r>
      <w:r w:rsidR="00B204C4">
        <w:rPr>
          <w:rFonts w:cs="Tahoma"/>
          <w:b/>
        </w:rPr>
        <w:t xml:space="preserve">tak tedy zřejmě je </w:t>
      </w:r>
      <w:r w:rsidR="007F4DE1" w:rsidRPr="009C2712">
        <w:rPr>
          <w:rFonts w:cs="Tahoma"/>
          <w:b/>
        </w:rPr>
        <w:t xml:space="preserve">úmyslné a </w:t>
      </w:r>
      <w:r w:rsidR="001F0A74" w:rsidRPr="009C2712">
        <w:rPr>
          <w:rFonts w:cs="Tahoma"/>
          <w:b/>
        </w:rPr>
        <w:t>zcela svévoln</w:t>
      </w:r>
      <w:r w:rsidR="007F4DE1" w:rsidRPr="009C2712">
        <w:rPr>
          <w:rFonts w:cs="Tahoma"/>
          <w:b/>
        </w:rPr>
        <w:t>é</w:t>
      </w:r>
      <w:r w:rsidR="001F0A74" w:rsidRPr="009C2712">
        <w:rPr>
          <w:rFonts w:cs="Tahoma"/>
          <w:b/>
        </w:rPr>
        <w:t xml:space="preserve"> </w:t>
      </w:r>
      <w:r w:rsidR="007F4DE1" w:rsidRPr="009C2712">
        <w:rPr>
          <w:rFonts w:cs="Tahoma"/>
          <w:b/>
        </w:rPr>
        <w:t xml:space="preserve">rozhodnutí osob zapojených do procesu rozhodování </w:t>
      </w:r>
      <w:r w:rsidRPr="009C2712">
        <w:rPr>
          <w:rFonts w:cs="Tahoma"/>
          <w:b/>
        </w:rPr>
        <w:t xml:space="preserve">společnosti ČEZ </w:t>
      </w:r>
      <w:r w:rsidR="007F4DE1" w:rsidRPr="009C2712">
        <w:rPr>
          <w:rFonts w:cs="Tahoma"/>
          <w:b/>
        </w:rPr>
        <w:t xml:space="preserve">o její účasti </w:t>
      </w:r>
      <w:r w:rsidRPr="009C2712">
        <w:rPr>
          <w:rFonts w:cs="Tahoma"/>
          <w:b/>
        </w:rPr>
        <w:t>na tzv Lipské burze</w:t>
      </w:r>
      <w:r w:rsidR="00A226BC">
        <w:rPr>
          <w:rFonts w:cs="Tahoma"/>
          <w:b/>
        </w:rPr>
        <w:t xml:space="preserve"> EEX či Pražské burze PXE</w:t>
      </w:r>
      <w:r w:rsidRPr="009C2712">
        <w:rPr>
          <w:rFonts w:cs="Tahoma"/>
          <w:b/>
        </w:rPr>
        <w:t>, prostřednictvím kter</w:t>
      </w:r>
      <w:r w:rsidR="00A226BC">
        <w:rPr>
          <w:rFonts w:cs="Tahoma"/>
          <w:b/>
        </w:rPr>
        <w:t>ých</w:t>
      </w:r>
      <w:r w:rsidR="00A73B71" w:rsidRPr="009C2712">
        <w:rPr>
          <w:rFonts w:cs="Tahoma"/>
          <w:b/>
        </w:rPr>
        <w:t xml:space="preserve"> </w:t>
      </w:r>
      <w:r w:rsidR="007F4DE1" w:rsidRPr="009C2712">
        <w:rPr>
          <w:rFonts w:cs="Tahoma"/>
          <w:b/>
        </w:rPr>
        <w:t xml:space="preserve">tato společnost </w:t>
      </w:r>
      <w:r w:rsidRPr="009C2712">
        <w:rPr>
          <w:rFonts w:cs="Tahoma"/>
          <w:b/>
        </w:rPr>
        <w:t>realizuje prodej a nákupu vlastní produkce</w:t>
      </w:r>
      <w:r w:rsidR="007F4DE1" w:rsidRPr="009C2712">
        <w:rPr>
          <w:rFonts w:cs="Tahoma"/>
          <w:b/>
        </w:rPr>
        <w:t>.</w:t>
      </w:r>
      <w:r w:rsidR="007F4DE1">
        <w:rPr>
          <w:rFonts w:cs="Tahoma"/>
          <w:bCs/>
        </w:rPr>
        <w:t xml:space="preserve"> </w:t>
      </w:r>
    </w:p>
    <w:p w14:paraId="17F66F84" w14:textId="77777777" w:rsidR="00224428" w:rsidRDefault="00760E3D" w:rsidP="00316414">
      <w:pPr>
        <w:spacing w:after="160" w:line="259" w:lineRule="auto"/>
        <w:jc w:val="both"/>
        <w:rPr>
          <w:rFonts w:cs="Tahoma"/>
          <w:bCs/>
        </w:rPr>
      </w:pPr>
      <w:r>
        <w:rPr>
          <w:rFonts w:cs="Tahoma"/>
          <w:bCs/>
        </w:rPr>
        <w:t>Je notorietou, že e</w:t>
      </w:r>
      <w:r w:rsidR="00D24FDA">
        <w:rPr>
          <w:rFonts w:cs="Tahoma"/>
          <w:bCs/>
        </w:rPr>
        <w:t xml:space="preserve">lektrická energie je </w:t>
      </w:r>
      <w:r w:rsidR="001E5562">
        <w:rPr>
          <w:rFonts w:cs="Tahoma"/>
          <w:bCs/>
        </w:rPr>
        <w:t xml:space="preserve">v moderní společnosti </w:t>
      </w:r>
      <w:r w:rsidR="00D24FDA">
        <w:rPr>
          <w:rFonts w:cs="Tahoma"/>
          <w:bCs/>
        </w:rPr>
        <w:t xml:space="preserve">základní životní </w:t>
      </w:r>
      <w:r w:rsidR="001E5562">
        <w:rPr>
          <w:rFonts w:cs="Tahoma"/>
          <w:bCs/>
        </w:rPr>
        <w:t>nezbytno</w:t>
      </w:r>
      <w:r w:rsidR="006D1A53">
        <w:rPr>
          <w:rFonts w:cs="Tahoma"/>
          <w:bCs/>
        </w:rPr>
        <w:t xml:space="preserve">stí </w:t>
      </w:r>
      <w:r w:rsidR="001E5562">
        <w:rPr>
          <w:rFonts w:cs="Tahoma"/>
          <w:bCs/>
        </w:rPr>
        <w:t xml:space="preserve">pro </w:t>
      </w:r>
      <w:r w:rsidR="00161209">
        <w:rPr>
          <w:rFonts w:cs="Tahoma"/>
          <w:bCs/>
        </w:rPr>
        <w:t xml:space="preserve">zachování </w:t>
      </w:r>
      <w:r w:rsidR="006D1A53">
        <w:rPr>
          <w:rFonts w:cs="Tahoma"/>
          <w:bCs/>
        </w:rPr>
        <w:t>její</w:t>
      </w:r>
      <w:r w:rsidR="00161209">
        <w:rPr>
          <w:rFonts w:cs="Tahoma"/>
          <w:bCs/>
        </w:rPr>
        <w:t>ch</w:t>
      </w:r>
      <w:r w:rsidR="006D1A53">
        <w:rPr>
          <w:rFonts w:cs="Tahoma"/>
          <w:bCs/>
        </w:rPr>
        <w:t>,</w:t>
      </w:r>
      <w:r w:rsidR="001E5562">
        <w:rPr>
          <w:rFonts w:cs="Tahoma"/>
          <w:bCs/>
        </w:rPr>
        <w:t xml:space="preserve"> </w:t>
      </w:r>
      <w:r w:rsidR="006D1A53">
        <w:rPr>
          <w:rFonts w:cs="Tahoma"/>
          <w:bCs/>
        </w:rPr>
        <w:t>byť by jen bazální</w:t>
      </w:r>
      <w:r w:rsidR="00161209">
        <w:rPr>
          <w:rFonts w:cs="Tahoma"/>
          <w:bCs/>
        </w:rPr>
        <w:t>ch, funkcí</w:t>
      </w:r>
      <w:r w:rsidR="00D24FDA">
        <w:rPr>
          <w:rFonts w:cs="Tahoma"/>
          <w:bCs/>
        </w:rPr>
        <w:t xml:space="preserve">. Její </w:t>
      </w:r>
      <w:r w:rsidR="007F4DE1">
        <w:rPr>
          <w:rFonts w:cs="Tahoma"/>
          <w:bCs/>
        </w:rPr>
        <w:t xml:space="preserve">nedostupnost vyvolaná v důsledku teroristického útoku </w:t>
      </w:r>
      <w:r w:rsidR="00161209">
        <w:rPr>
          <w:rFonts w:cs="Tahoma"/>
          <w:bCs/>
        </w:rPr>
        <w:t xml:space="preserve">je pro </w:t>
      </w:r>
      <w:r w:rsidR="00224428">
        <w:rPr>
          <w:rFonts w:cs="Tahoma"/>
          <w:bCs/>
        </w:rPr>
        <w:t>hospodářskou</w:t>
      </w:r>
      <w:r w:rsidR="00161209">
        <w:rPr>
          <w:rFonts w:cs="Tahoma"/>
          <w:bCs/>
        </w:rPr>
        <w:t>, společensk</w:t>
      </w:r>
      <w:r w:rsidR="00224428">
        <w:rPr>
          <w:rFonts w:cs="Tahoma"/>
          <w:bCs/>
        </w:rPr>
        <w:t>ou</w:t>
      </w:r>
      <w:r w:rsidR="00161209">
        <w:rPr>
          <w:rFonts w:cs="Tahoma"/>
          <w:bCs/>
        </w:rPr>
        <w:t>, sociální a politick</w:t>
      </w:r>
      <w:r w:rsidR="00224428">
        <w:rPr>
          <w:rFonts w:cs="Tahoma"/>
          <w:bCs/>
        </w:rPr>
        <w:t xml:space="preserve">ou strukturu </w:t>
      </w:r>
      <w:r w:rsidR="007F4DE1">
        <w:rPr>
          <w:rFonts w:cs="Tahoma"/>
          <w:bCs/>
        </w:rPr>
        <w:t>zničující</w:t>
      </w:r>
      <w:r w:rsidR="00161209">
        <w:rPr>
          <w:rFonts w:cs="Tahoma"/>
          <w:bCs/>
        </w:rPr>
        <w:t xml:space="preserve">. </w:t>
      </w:r>
    </w:p>
    <w:p w14:paraId="6420CD27" w14:textId="77777777" w:rsidR="00D24FDA" w:rsidRDefault="00224428" w:rsidP="00316414">
      <w:pPr>
        <w:spacing w:after="160" w:line="259" w:lineRule="auto"/>
        <w:jc w:val="both"/>
        <w:rPr>
          <w:rFonts w:cs="Tahoma"/>
          <w:bCs/>
        </w:rPr>
      </w:pPr>
      <w:r>
        <w:rPr>
          <w:rFonts w:cs="Tahoma"/>
          <w:bCs/>
        </w:rPr>
        <w:t xml:space="preserve">Ustanovení § 311 </w:t>
      </w:r>
      <w:r w:rsidR="00606786">
        <w:rPr>
          <w:rFonts w:cs="Tahoma"/>
          <w:bCs/>
        </w:rPr>
        <w:t xml:space="preserve">TZ </w:t>
      </w:r>
      <w:r>
        <w:rPr>
          <w:rFonts w:cs="Tahoma"/>
          <w:bCs/>
        </w:rPr>
        <w:t xml:space="preserve">nikterak nezmiňuje jakými prostředky může být tento </w:t>
      </w:r>
      <w:r w:rsidR="007512B4">
        <w:rPr>
          <w:rFonts w:cs="Tahoma"/>
          <w:bCs/>
        </w:rPr>
        <w:t xml:space="preserve">teroristický </w:t>
      </w:r>
      <w:r>
        <w:rPr>
          <w:rFonts w:cs="Tahoma"/>
          <w:bCs/>
        </w:rPr>
        <w:t>ú</w:t>
      </w:r>
      <w:r w:rsidR="007512B4">
        <w:rPr>
          <w:rFonts w:cs="Tahoma"/>
          <w:bCs/>
        </w:rPr>
        <w:t xml:space="preserve">tok </w:t>
      </w:r>
      <w:r>
        <w:rPr>
          <w:rFonts w:cs="Tahoma"/>
          <w:bCs/>
        </w:rPr>
        <w:t xml:space="preserve">veden. Rozsah škály útoků </w:t>
      </w:r>
      <w:r w:rsidR="00961FB0">
        <w:rPr>
          <w:rFonts w:cs="Tahoma"/>
          <w:bCs/>
        </w:rPr>
        <w:t xml:space="preserve">může být </w:t>
      </w:r>
      <w:r>
        <w:rPr>
          <w:rFonts w:cs="Tahoma"/>
          <w:bCs/>
        </w:rPr>
        <w:t>v</w:t>
      </w:r>
      <w:r w:rsidR="00606786">
        <w:rPr>
          <w:rFonts w:cs="Tahoma"/>
          <w:bCs/>
        </w:rPr>
        <w:t> </w:t>
      </w:r>
      <w:r w:rsidR="00961FB0">
        <w:rPr>
          <w:rFonts w:cs="Tahoma"/>
          <w:bCs/>
        </w:rPr>
        <w:t xml:space="preserve">současné </w:t>
      </w:r>
      <w:r>
        <w:rPr>
          <w:rFonts w:cs="Tahoma"/>
          <w:bCs/>
        </w:rPr>
        <w:t xml:space="preserve">moderní </w:t>
      </w:r>
      <w:r w:rsidR="00961FB0">
        <w:rPr>
          <w:rFonts w:cs="Tahoma"/>
          <w:bCs/>
        </w:rPr>
        <w:t xml:space="preserve">době velmi </w:t>
      </w:r>
      <w:r>
        <w:rPr>
          <w:rFonts w:cs="Tahoma"/>
          <w:bCs/>
        </w:rPr>
        <w:t xml:space="preserve">široký, </w:t>
      </w:r>
      <w:r w:rsidR="00961FB0">
        <w:rPr>
          <w:rFonts w:cs="Tahoma"/>
          <w:bCs/>
        </w:rPr>
        <w:t>počínaje klasickými fyzickými útoky na zařízení energetické infrastruktury</w:t>
      </w:r>
      <w:r w:rsidR="00DA13EB">
        <w:rPr>
          <w:rFonts w:cs="Tahoma"/>
          <w:bCs/>
        </w:rPr>
        <w:t>,</w:t>
      </w:r>
      <w:r w:rsidR="00961FB0">
        <w:rPr>
          <w:rFonts w:cs="Tahoma"/>
          <w:bCs/>
        </w:rPr>
        <w:t xml:space="preserve"> </w:t>
      </w:r>
      <w:r w:rsidR="007512B4">
        <w:rPr>
          <w:rFonts w:cs="Tahoma"/>
          <w:bCs/>
        </w:rPr>
        <w:t xml:space="preserve">přes útok </w:t>
      </w:r>
      <w:r w:rsidR="00961FB0">
        <w:rPr>
          <w:rFonts w:cs="Tahoma"/>
          <w:bCs/>
        </w:rPr>
        <w:t>za využití kybernetických nástrojů</w:t>
      </w:r>
      <w:r w:rsidR="007512B4">
        <w:rPr>
          <w:rFonts w:cs="Tahoma"/>
          <w:bCs/>
        </w:rPr>
        <w:t xml:space="preserve">, až po útok vedený shora popisovaným způsobem, neboť </w:t>
      </w:r>
      <w:r w:rsidR="007512B4" w:rsidRPr="007512B4">
        <w:rPr>
          <w:rFonts w:cs="Tahoma"/>
          <w:b/>
        </w:rPr>
        <w:t>ú</w:t>
      </w:r>
      <w:r w:rsidR="00961FB0" w:rsidRPr="00DA13EB">
        <w:rPr>
          <w:rFonts w:cs="Tahoma"/>
          <w:b/>
        </w:rPr>
        <w:t xml:space="preserve">tok na energetickou soustavu a zásobování občanů a průmyslu elektrickou energií </w:t>
      </w:r>
      <w:r w:rsidR="00DA13EB" w:rsidRPr="007512B4">
        <w:rPr>
          <w:rFonts w:cs="Tahoma"/>
          <w:b/>
          <w:u w:val="single"/>
        </w:rPr>
        <w:t xml:space="preserve">za využití </w:t>
      </w:r>
      <w:r w:rsidR="000C4141" w:rsidRPr="007512B4">
        <w:rPr>
          <w:rFonts w:cs="Tahoma"/>
          <w:b/>
          <w:u w:val="single"/>
        </w:rPr>
        <w:t>systémových ekonomických</w:t>
      </w:r>
      <w:r w:rsidR="00961FB0" w:rsidRPr="007512B4">
        <w:rPr>
          <w:rFonts w:cs="Tahoma"/>
          <w:b/>
          <w:u w:val="single"/>
        </w:rPr>
        <w:t xml:space="preserve"> </w:t>
      </w:r>
      <w:r w:rsidR="00DA13EB" w:rsidRPr="007512B4">
        <w:rPr>
          <w:rFonts w:cs="Tahoma"/>
          <w:b/>
          <w:u w:val="single"/>
        </w:rPr>
        <w:t xml:space="preserve">a finančních </w:t>
      </w:r>
      <w:r w:rsidR="00961FB0" w:rsidRPr="007512B4">
        <w:rPr>
          <w:rFonts w:cs="Tahoma"/>
          <w:b/>
          <w:u w:val="single"/>
        </w:rPr>
        <w:t xml:space="preserve">nástrojů účelové cenové manipulace </w:t>
      </w:r>
      <w:r w:rsidR="00961FB0" w:rsidRPr="00DA13EB">
        <w:rPr>
          <w:rFonts w:cs="Tahoma"/>
          <w:b/>
        </w:rPr>
        <w:t>mezi způsob</w:t>
      </w:r>
      <w:r w:rsidR="000C4141">
        <w:rPr>
          <w:rFonts w:cs="Tahoma"/>
          <w:b/>
        </w:rPr>
        <w:t>y</w:t>
      </w:r>
      <w:r w:rsidR="00961FB0" w:rsidRPr="00DA13EB">
        <w:rPr>
          <w:rFonts w:cs="Tahoma"/>
          <w:b/>
        </w:rPr>
        <w:t xml:space="preserve"> </w:t>
      </w:r>
      <w:r w:rsidR="0074595D">
        <w:rPr>
          <w:rFonts w:cs="Tahoma"/>
          <w:b/>
        </w:rPr>
        <w:t xml:space="preserve">teroristického </w:t>
      </w:r>
      <w:r w:rsidR="00961FB0" w:rsidRPr="00DA13EB">
        <w:rPr>
          <w:rFonts w:cs="Tahoma"/>
          <w:b/>
        </w:rPr>
        <w:t xml:space="preserve">útoku nepochybně </w:t>
      </w:r>
      <w:r w:rsidR="00B204C4">
        <w:rPr>
          <w:rFonts w:cs="Tahoma"/>
          <w:b/>
        </w:rPr>
        <w:t xml:space="preserve">může </w:t>
      </w:r>
      <w:r w:rsidR="00B204C4" w:rsidRPr="00DA13EB">
        <w:rPr>
          <w:rFonts w:cs="Tahoma"/>
          <w:b/>
        </w:rPr>
        <w:t>patř</w:t>
      </w:r>
      <w:r w:rsidR="00B204C4">
        <w:rPr>
          <w:rFonts w:cs="Tahoma"/>
          <w:b/>
        </w:rPr>
        <w:t>it</w:t>
      </w:r>
      <w:r w:rsidR="00961FB0" w:rsidRPr="00DA13EB">
        <w:rPr>
          <w:rFonts w:cs="Tahoma"/>
          <w:b/>
        </w:rPr>
        <w:t xml:space="preserve">. </w:t>
      </w:r>
      <w:r w:rsidR="00891E7D" w:rsidRPr="00DA13EB">
        <w:rPr>
          <w:rFonts w:cs="Tahoma"/>
          <w:b/>
        </w:rPr>
        <w:t>Jedn</w:t>
      </w:r>
      <w:r w:rsidR="005B0578" w:rsidRPr="00DA13EB">
        <w:rPr>
          <w:rFonts w:cs="Tahoma"/>
          <w:b/>
        </w:rPr>
        <w:t>á</w:t>
      </w:r>
      <w:r w:rsidR="00891E7D" w:rsidRPr="00DA13EB">
        <w:rPr>
          <w:rFonts w:cs="Tahoma"/>
          <w:b/>
        </w:rPr>
        <w:t xml:space="preserve"> se </w:t>
      </w:r>
      <w:r w:rsidR="00B204C4">
        <w:rPr>
          <w:rFonts w:cs="Tahoma"/>
          <w:b/>
        </w:rPr>
        <w:t xml:space="preserve">o </w:t>
      </w:r>
      <w:r w:rsidR="00891E7D" w:rsidRPr="00DA13EB">
        <w:rPr>
          <w:rFonts w:cs="Tahoma"/>
          <w:b/>
        </w:rPr>
        <w:t xml:space="preserve">útok </w:t>
      </w:r>
      <w:proofErr w:type="spellStart"/>
      <w:r w:rsidR="00891E7D" w:rsidRPr="00DA13EB">
        <w:rPr>
          <w:rFonts w:cs="Tahoma"/>
          <w:b/>
        </w:rPr>
        <w:t>sui</w:t>
      </w:r>
      <w:proofErr w:type="spellEnd"/>
      <w:r w:rsidR="00891E7D" w:rsidRPr="00DA13EB">
        <w:rPr>
          <w:rFonts w:cs="Tahoma"/>
          <w:b/>
        </w:rPr>
        <w:t xml:space="preserve"> generis, </w:t>
      </w:r>
      <w:r w:rsidR="00B204C4">
        <w:rPr>
          <w:rFonts w:cs="Tahoma"/>
          <w:b/>
        </w:rPr>
        <w:t>související s</w:t>
      </w:r>
      <w:r w:rsidR="00606786">
        <w:rPr>
          <w:rFonts w:cs="Tahoma"/>
          <w:b/>
        </w:rPr>
        <w:t> </w:t>
      </w:r>
      <w:r w:rsidR="00B204C4">
        <w:rPr>
          <w:rFonts w:cs="Tahoma"/>
          <w:b/>
        </w:rPr>
        <w:t xml:space="preserve">novými typy tzv. hybridních hrozeb. Pokud se představa takového útoku vymyká současným </w:t>
      </w:r>
      <w:r w:rsidR="005B0578" w:rsidRPr="00DA13EB">
        <w:rPr>
          <w:rFonts w:cs="Tahoma"/>
          <w:b/>
        </w:rPr>
        <w:t xml:space="preserve">představám většinové populace o povaze a způsobu provedení teroristického útoku, </w:t>
      </w:r>
      <w:r w:rsidR="00B204C4">
        <w:rPr>
          <w:rFonts w:cs="Tahoma"/>
          <w:b/>
        </w:rPr>
        <w:t>neznamená to, že ji lze (právě s</w:t>
      </w:r>
      <w:r w:rsidR="00606786">
        <w:rPr>
          <w:rFonts w:cs="Tahoma"/>
          <w:b/>
        </w:rPr>
        <w:t> </w:t>
      </w:r>
      <w:r w:rsidR="00B204C4">
        <w:rPr>
          <w:rFonts w:cs="Tahoma"/>
          <w:b/>
        </w:rPr>
        <w:t xml:space="preserve">ohledem na nové druhy hrozeb) přehlížet. Naopak, může být </w:t>
      </w:r>
      <w:r w:rsidR="005B0578" w:rsidRPr="00DA13EB">
        <w:rPr>
          <w:rFonts w:cs="Tahoma"/>
          <w:b/>
        </w:rPr>
        <w:t xml:space="preserve">ve svém výsledku o </w:t>
      </w:r>
      <w:r w:rsidR="00891E7D" w:rsidRPr="00DA13EB">
        <w:rPr>
          <w:rFonts w:cs="Tahoma"/>
          <w:b/>
        </w:rPr>
        <w:t xml:space="preserve">to </w:t>
      </w:r>
      <w:r w:rsidR="005B0578" w:rsidRPr="00DA13EB">
        <w:rPr>
          <w:rFonts w:cs="Tahoma"/>
          <w:b/>
        </w:rPr>
        <w:t xml:space="preserve">zákeřnější a </w:t>
      </w:r>
      <w:r w:rsidR="00891E7D" w:rsidRPr="00DA13EB">
        <w:rPr>
          <w:rFonts w:cs="Tahoma"/>
          <w:b/>
        </w:rPr>
        <w:t xml:space="preserve">nebezpečnější, </w:t>
      </w:r>
      <w:r w:rsidR="009C2712">
        <w:rPr>
          <w:rFonts w:cs="Tahoma"/>
          <w:b/>
        </w:rPr>
        <w:t xml:space="preserve">neboť </w:t>
      </w:r>
      <w:r w:rsidR="0074595D">
        <w:rPr>
          <w:rFonts w:cs="Tahoma"/>
          <w:b/>
        </w:rPr>
        <w:t xml:space="preserve">rozsáhlé škody </w:t>
      </w:r>
      <w:r w:rsidR="00B204C4">
        <w:rPr>
          <w:rFonts w:cs="Tahoma"/>
          <w:b/>
        </w:rPr>
        <w:t xml:space="preserve">takovým útokem </w:t>
      </w:r>
      <w:r w:rsidR="0074595D">
        <w:rPr>
          <w:rFonts w:cs="Tahoma"/>
          <w:b/>
        </w:rPr>
        <w:t xml:space="preserve">způsobené </w:t>
      </w:r>
      <w:r w:rsidR="00B204C4">
        <w:rPr>
          <w:rFonts w:cs="Tahoma"/>
          <w:b/>
        </w:rPr>
        <w:t xml:space="preserve">mohou být příslušnými bezpečnostními složkami (nepřipravenými na novou podobu terorismu) přehlédnuty nebo minimálně podceněny, přitom mohou být </w:t>
      </w:r>
      <w:r w:rsidR="00891E7D" w:rsidRPr="00DA13EB">
        <w:rPr>
          <w:rFonts w:cs="Tahoma"/>
          <w:b/>
        </w:rPr>
        <w:t>dlouhodobé</w:t>
      </w:r>
      <w:r w:rsidR="009C2712">
        <w:rPr>
          <w:rFonts w:cs="Tahoma"/>
          <w:b/>
        </w:rPr>
        <w:t xml:space="preserve">, </w:t>
      </w:r>
      <w:r w:rsidR="00B204C4">
        <w:rPr>
          <w:rFonts w:cs="Tahoma"/>
          <w:b/>
        </w:rPr>
        <w:t xml:space="preserve">jistě </w:t>
      </w:r>
      <w:r w:rsidR="009C2712" w:rsidRPr="00DA13EB">
        <w:rPr>
          <w:rFonts w:cs="Tahoma"/>
          <w:b/>
        </w:rPr>
        <w:t>nebudou sektorově omezeny</w:t>
      </w:r>
      <w:r w:rsidR="009C2712">
        <w:rPr>
          <w:rFonts w:cs="Tahoma"/>
          <w:b/>
        </w:rPr>
        <w:t xml:space="preserve">, ale </w:t>
      </w:r>
      <w:r w:rsidR="009C2712" w:rsidRPr="00DA13EB">
        <w:rPr>
          <w:rFonts w:cs="Tahoma"/>
          <w:b/>
        </w:rPr>
        <w:t xml:space="preserve">zasáhnou </w:t>
      </w:r>
      <w:r w:rsidR="009C2712">
        <w:rPr>
          <w:rFonts w:cs="Tahoma"/>
          <w:b/>
        </w:rPr>
        <w:t xml:space="preserve">plošně </w:t>
      </w:r>
      <w:r w:rsidR="009C2712" w:rsidRPr="00DA13EB">
        <w:rPr>
          <w:rFonts w:cs="Tahoma"/>
          <w:b/>
        </w:rPr>
        <w:t>celou strukturu současné společnosti</w:t>
      </w:r>
      <w:r w:rsidR="00B204C4">
        <w:rPr>
          <w:rFonts w:cs="Tahoma"/>
          <w:b/>
        </w:rPr>
        <w:t>,</w:t>
      </w:r>
      <w:r w:rsidR="009C2712" w:rsidRPr="00DA13EB">
        <w:rPr>
          <w:rFonts w:cs="Tahoma"/>
          <w:b/>
        </w:rPr>
        <w:t xml:space="preserve"> </w:t>
      </w:r>
      <w:r w:rsidR="009C2712">
        <w:rPr>
          <w:rFonts w:cs="Tahoma"/>
          <w:b/>
        </w:rPr>
        <w:t xml:space="preserve">a budou proto pro všechny devastující a </w:t>
      </w:r>
      <w:r w:rsidR="005B0578" w:rsidRPr="00DA13EB">
        <w:rPr>
          <w:rFonts w:cs="Tahoma"/>
          <w:b/>
        </w:rPr>
        <w:t>nevratné.</w:t>
      </w:r>
      <w:r w:rsidR="005B0578">
        <w:rPr>
          <w:rFonts w:cs="Tahoma"/>
          <w:bCs/>
        </w:rPr>
        <w:t xml:space="preserve"> </w:t>
      </w:r>
      <w:r w:rsidR="00891E7D">
        <w:rPr>
          <w:rFonts w:cs="Tahoma"/>
          <w:bCs/>
        </w:rPr>
        <w:t xml:space="preserve">  </w:t>
      </w:r>
    </w:p>
    <w:p w14:paraId="596B45D5" w14:textId="77777777" w:rsidR="001E5562" w:rsidRDefault="00A84C46" w:rsidP="001E5562">
      <w:pPr>
        <w:spacing w:after="160" w:line="259" w:lineRule="auto"/>
        <w:jc w:val="both"/>
        <w:rPr>
          <w:rFonts w:cs="Tahoma"/>
          <w:b/>
        </w:rPr>
      </w:pPr>
      <w:r>
        <w:rPr>
          <w:rFonts w:cs="Tahoma"/>
          <w:b/>
        </w:rPr>
        <w:t>V</w:t>
      </w:r>
      <w:r w:rsidR="00606786">
        <w:rPr>
          <w:rFonts w:cs="Tahoma"/>
          <w:b/>
        </w:rPr>
        <w:t> </w:t>
      </w:r>
      <w:r>
        <w:rPr>
          <w:rFonts w:cs="Tahoma"/>
          <w:b/>
        </w:rPr>
        <w:t>žádném případě nelze bez důkladného prošetření shora uvedeného jednání z</w:t>
      </w:r>
      <w:r w:rsidRPr="0074595D">
        <w:rPr>
          <w:rFonts w:cs="Tahoma"/>
          <w:b/>
        </w:rPr>
        <w:t xml:space="preserve">naky </w:t>
      </w:r>
      <w:r w:rsidR="00947A70" w:rsidRPr="0074595D">
        <w:rPr>
          <w:rFonts w:cs="Tahoma"/>
          <w:b/>
        </w:rPr>
        <w:t>skutkové podstaty zvláště závažného zločinu teroristického útoku tak</w:t>
      </w:r>
      <w:r w:rsidR="00B204C4">
        <w:rPr>
          <w:rFonts w:cs="Tahoma"/>
          <w:b/>
        </w:rPr>
        <w:t>,</w:t>
      </w:r>
      <w:r w:rsidR="00947A70" w:rsidRPr="0074595D">
        <w:rPr>
          <w:rFonts w:cs="Tahoma"/>
          <w:b/>
        </w:rPr>
        <w:t xml:space="preserve"> jak jsou uvedeny v § 311 </w:t>
      </w:r>
      <w:r w:rsidR="00606786">
        <w:rPr>
          <w:rFonts w:cs="Tahoma"/>
          <w:b/>
        </w:rPr>
        <w:t xml:space="preserve">TZ, </w:t>
      </w:r>
      <w:r w:rsidR="00947A70" w:rsidRPr="0074595D">
        <w:rPr>
          <w:rFonts w:cs="Tahoma"/>
          <w:b/>
        </w:rPr>
        <w:t xml:space="preserve"> </w:t>
      </w:r>
      <w:r>
        <w:rPr>
          <w:rFonts w:cs="Tahoma"/>
          <w:b/>
        </w:rPr>
        <w:t>vyloučit</w:t>
      </w:r>
      <w:r w:rsidR="00947A70" w:rsidRPr="0074595D">
        <w:rPr>
          <w:rFonts w:cs="Tahoma"/>
          <w:b/>
        </w:rPr>
        <w:t xml:space="preserve">, přičemž </w:t>
      </w:r>
      <w:r w:rsidR="0074595D" w:rsidRPr="0074595D">
        <w:rPr>
          <w:rFonts w:cs="Tahoma"/>
          <w:b/>
        </w:rPr>
        <w:t xml:space="preserve">zvláště závažné </w:t>
      </w:r>
      <w:r w:rsidR="00FE0F5F">
        <w:rPr>
          <w:rFonts w:cs="Tahoma"/>
          <w:b/>
        </w:rPr>
        <w:t xml:space="preserve">resp. </w:t>
      </w:r>
      <w:r w:rsidR="007512B4">
        <w:rPr>
          <w:rFonts w:cs="Tahoma"/>
          <w:b/>
        </w:rPr>
        <w:t xml:space="preserve">nevratné </w:t>
      </w:r>
      <w:r w:rsidR="0074595D" w:rsidRPr="0074595D">
        <w:rPr>
          <w:rFonts w:cs="Tahoma"/>
          <w:b/>
        </w:rPr>
        <w:t xml:space="preserve">důsledky tohoto zločinu a majetkový prospěch v řádu desítek miliard </w:t>
      </w:r>
      <w:r w:rsidR="00B204C4">
        <w:rPr>
          <w:rFonts w:cs="Tahoma"/>
          <w:b/>
        </w:rPr>
        <w:t xml:space="preserve">korun </w:t>
      </w:r>
      <w:r w:rsidR="007512B4">
        <w:rPr>
          <w:rFonts w:cs="Tahoma"/>
          <w:b/>
        </w:rPr>
        <w:t xml:space="preserve">svědčící jeho pachatelům či osobám jiným </w:t>
      </w:r>
      <w:r w:rsidR="0074595D">
        <w:rPr>
          <w:rFonts w:cs="Tahoma"/>
          <w:b/>
        </w:rPr>
        <w:t xml:space="preserve">plně </w:t>
      </w:r>
      <w:r w:rsidR="0074595D" w:rsidRPr="0074595D">
        <w:rPr>
          <w:rFonts w:cs="Tahoma"/>
          <w:b/>
        </w:rPr>
        <w:t xml:space="preserve">opravňují užití nejvyšší trestní sazby </w:t>
      </w:r>
      <w:r w:rsidR="0074595D">
        <w:rPr>
          <w:rFonts w:cs="Tahoma"/>
          <w:b/>
        </w:rPr>
        <w:t xml:space="preserve">stanovené </w:t>
      </w:r>
      <w:r w:rsidR="0074595D" w:rsidRPr="0074595D">
        <w:rPr>
          <w:rFonts w:cs="Tahoma"/>
          <w:b/>
        </w:rPr>
        <w:t>odstavce</w:t>
      </w:r>
      <w:r w:rsidR="0074595D">
        <w:rPr>
          <w:rFonts w:cs="Tahoma"/>
          <w:b/>
        </w:rPr>
        <w:t>m</w:t>
      </w:r>
      <w:r w:rsidR="0074595D" w:rsidRPr="0074595D">
        <w:rPr>
          <w:rFonts w:cs="Tahoma"/>
          <w:b/>
        </w:rPr>
        <w:t xml:space="preserve"> 3 uvedeného ustanovení. </w:t>
      </w:r>
    </w:p>
    <w:p w14:paraId="0362CF1B" w14:textId="77777777" w:rsidR="0025345C" w:rsidRDefault="00853F60" w:rsidP="001E5562">
      <w:pPr>
        <w:spacing w:after="160" w:line="259" w:lineRule="auto"/>
        <w:jc w:val="both"/>
        <w:rPr>
          <w:rFonts w:cs="Tahoma"/>
          <w:b/>
        </w:rPr>
      </w:pPr>
      <w:r w:rsidRPr="00A37305">
        <w:rPr>
          <w:rFonts w:cs="Tahoma"/>
          <w:bCs/>
        </w:rPr>
        <w:t xml:space="preserve">Ve světle výše uvedeného se skutečnost uzavření úvěrové smlouvy ze dne 8. července 2022 může jevit jako podružná, avšak tak tomu není. </w:t>
      </w:r>
      <w:r w:rsidR="00606786">
        <w:rPr>
          <w:rFonts w:cs="Tahoma"/>
          <w:bCs/>
        </w:rPr>
        <w:t>Veškeré i</w:t>
      </w:r>
      <w:r w:rsidRPr="00A37305">
        <w:rPr>
          <w:rFonts w:cs="Tahoma"/>
          <w:bCs/>
        </w:rPr>
        <w:t xml:space="preserve">ndicie napovídají, že k uzavření této smlouvy </w:t>
      </w:r>
      <w:r w:rsidR="00606786">
        <w:rPr>
          <w:rFonts w:cs="Tahoma"/>
          <w:bCs/>
        </w:rPr>
        <w:t xml:space="preserve">bylo </w:t>
      </w:r>
      <w:r w:rsidRPr="00A37305">
        <w:rPr>
          <w:rFonts w:cs="Tahoma"/>
          <w:bCs/>
        </w:rPr>
        <w:t xml:space="preserve">přistoupeno účelově s cílem </w:t>
      </w:r>
      <w:r w:rsidR="00606786">
        <w:rPr>
          <w:rFonts w:cs="Tahoma"/>
          <w:bCs/>
        </w:rPr>
        <w:t xml:space="preserve">prohloubit </w:t>
      </w:r>
      <w:r w:rsidRPr="00A37305">
        <w:rPr>
          <w:rFonts w:cs="Tahoma"/>
          <w:bCs/>
        </w:rPr>
        <w:t>mylný dojem závažné krizové situace při zásobování elektrickou energií a přinutit tímto obyvatele k akceptaci jejích zcela nepřiměřené ceny,</w:t>
      </w:r>
      <w:r w:rsidR="00F81896">
        <w:rPr>
          <w:rFonts w:cs="Tahoma"/>
          <w:bCs/>
        </w:rPr>
        <w:t xml:space="preserve"> případně je od této životně nezbytné potřeby zcela odstavit, </w:t>
      </w:r>
      <w:r w:rsidRPr="00A37305">
        <w:rPr>
          <w:rFonts w:cs="Tahoma"/>
          <w:bCs/>
        </w:rPr>
        <w:t>tedy</w:t>
      </w:r>
      <w:r w:rsidR="00606786">
        <w:rPr>
          <w:rFonts w:cs="Tahoma"/>
          <w:b/>
        </w:rPr>
        <w:t xml:space="preserve"> </w:t>
      </w:r>
      <w:r w:rsidR="00F81896">
        <w:rPr>
          <w:rFonts w:cs="Tahoma"/>
          <w:b/>
        </w:rPr>
        <w:t xml:space="preserve">dle § 211 TZ odst. 6) písmeno b) </w:t>
      </w:r>
      <w:r w:rsidR="00256752">
        <w:rPr>
          <w:rFonts w:cs="Tahoma"/>
          <w:b/>
        </w:rPr>
        <w:t xml:space="preserve">spáchat úvěrový podvod </w:t>
      </w:r>
      <w:r w:rsidR="00606786">
        <w:rPr>
          <w:rFonts w:cs="Tahoma"/>
          <w:b/>
        </w:rPr>
        <w:t xml:space="preserve">s úmyslem umožnit nebo usnadnit spáchání teroristického </w:t>
      </w:r>
      <w:r w:rsidR="00F81896">
        <w:rPr>
          <w:rFonts w:cs="Tahoma"/>
          <w:b/>
        </w:rPr>
        <w:t>trestného činu</w:t>
      </w:r>
      <w:r w:rsidR="00606786">
        <w:rPr>
          <w:rFonts w:cs="Tahoma"/>
          <w:b/>
        </w:rPr>
        <w:t xml:space="preserve"> označeného shora.</w:t>
      </w:r>
      <w:r w:rsidR="001E3BE7">
        <w:rPr>
          <w:rFonts w:cs="Tahoma"/>
          <w:b/>
        </w:rPr>
        <w:t xml:space="preserve">   </w:t>
      </w:r>
    </w:p>
    <w:p w14:paraId="00AFE04E" w14:textId="77777777" w:rsidR="0008015D" w:rsidRPr="00A37305" w:rsidRDefault="00853F60" w:rsidP="001E5562">
      <w:pPr>
        <w:spacing w:after="160" w:line="259" w:lineRule="auto"/>
        <w:jc w:val="both"/>
        <w:rPr>
          <w:rFonts w:cs="Tahoma"/>
          <w:bCs/>
        </w:rPr>
      </w:pPr>
      <w:r w:rsidRPr="00A37305">
        <w:rPr>
          <w:rFonts w:cs="Tahoma"/>
          <w:bCs/>
        </w:rPr>
        <w:t xml:space="preserve">Oznamovatel </w:t>
      </w:r>
      <w:r w:rsidR="003F1C88">
        <w:rPr>
          <w:rFonts w:cs="Tahoma"/>
          <w:bCs/>
        </w:rPr>
        <w:t xml:space="preserve">vyslovuje </w:t>
      </w:r>
      <w:r w:rsidR="0008015D">
        <w:rPr>
          <w:rFonts w:cs="Tahoma"/>
          <w:bCs/>
        </w:rPr>
        <w:t>závěrem p</w:t>
      </w:r>
      <w:r w:rsidR="003F1C88">
        <w:rPr>
          <w:rFonts w:cs="Tahoma"/>
          <w:bCs/>
        </w:rPr>
        <w:t>ředpoklad</w:t>
      </w:r>
      <w:r w:rsidR="0008015D">
        <w:rPr>
          <w:rFonts w:cs="Tahoma"/>
          <w:bCs/>
        </w:rPr>
        <w:t xml:space="preserve">, že </w:t>
      </w:r>
      <w:r w:rsidR="003F1C88">
        <w:rPr>
          <w:rFonts w:cs="Tahoma"/>
          <w:bCs/>
        </w:rPr>
        <w:t xml:space="preserve">shora rubrikované </w:t>
      </w:r>
      <w:r w:rsidR="00AF54B0">
        <w:rPr>
          <w:rFonts w:cs="Tahoma"/>
          <w:bCs/>
        </w:rPr>
        <w:t xml:space="preserve">státní zastupitelství velmi pravděpodobně obdrželo v souvislosti s uvedeným skutkem trestní oznámení i od jiných oznamovatelů. Oznamovatel současně předpokládá, že tito oznamovatelé spojovali uvedený skutek </w:t>
      </w:r>
      <w:r w:rsidR="00AF54B0">
        <w:rPr>
          <w:rFonts w:cs="Tahoma"/>
          <w:bCs/>
        </w:rPr>
        <w:lastRenderedPageBreak/>
        <w:t>m.j. i s trestným činem porušování povinnosti při správě cizího majetku dle § 255 TZ. Z uvedeného důvodu se Oznamovatel t</w:t>
      </w:r>
      <w:r w:rsidR="003F1C88">
        <w:rPr>
          <w:rFonts w:cs="Tahoma"/>
          <w:bCs/>
        </w:rPr>
        <w:t xml:space="preserve">outo </w:t>
      </w:r>
      <w:r w:rsidR="00AF54B0">
        <w:rPr>
          <w:rFonts w:cs="Tahoma"/>
          <w:bCs/>
        </w:rPr>
        <w:t xml:space="preserve">právní kvalifikací </w:t>
      </w:r>
      <w:r w:rsidR="003F1C88">
        <w:rPr>
          <w:rFonts w:cs="Tahoma"/>
          <w:bCs/>
        </w:rPr>
        <w:t xml:space="preserve">v tomto trestní oznámení </w:t>
      </w:r>
      <w:r w:rsidR="00AF54B0">
        <w:rPr>
          <w:rFonts w:cs="Tahoma"/>
          <w:bCs/>
        </w:rPr>
        <w:t xml:space="preserve">podrobněji nezabývá, nicméně na ni z hlediska procesní opatrnosti </w:t>
      </w:r>
      <w:r w:rsidR="003F1C88">
        <w:rPr>
          <w:rFonts w:cs="Tahoma"/>
          <w:bCs/>
        </w:rPr>
        <w:t xml:space="preserve">rovněž plně </w:t>
      </w:r>
      <w:r w:rsidR="00AF54B0">
        <w:rPr>
          <w:rFonts w:cs="Tahoma"/>
          <w:bCs/>
        </w:rPr>
        <w:t xml:space="preserve">odkazuje.  </w:t>
      </w:r>
      <w:r w:rsidR="0008015D">
        <w:rPr>
          <w:rFonts w:cs="Tahoma"/>
          <w:bCs/>
        </w:rPr>
        <w:t xml:space="preserve">    </w:t>
      </w:r>
      <w:r w:rsidRPr="00A37305">
        <w:rPr>
          <w:rFonts w:cs="Tahoma"/>
          <w:bCs/>
        </w:rPr>
        <w:t xml:space="preserve">  </w:t>
      </w:r>
    </w:p>
    <w:p w14:paraId="763CCB3A" w14:textId="77777777" w:rsidR="009F5560" w:rsidRDefault="003B4C8F" w:rsidP="00316414">
      <w:pPr>
        <w:spacing w:after="160" w:line="259" w:lineRule="auto"/>
        <w:jc w:val="center"/>
        <w:rPr>
          <w:rFonts w:cs="Tahoma"/>
          <w:b/>
        </w:rPr>
      </w:pPr>
      <w:r>
        <w:rPr>
          <w:rFonts w:cs="Tahoma"/>
          <w:bCs/>
        </w:rPr>
        <w:t xml:space="preserve">   </w:t>
      </w:r>
      <w:bookmarkEnd w:id="3"/>
    </w:p>
    <w:p w14:paraId="154D676F" w14:textId="77777777" w:rsidR="00316414" w:rsidRPr="00316414" w:rsidRDefault="00316414" w:rsidP="00316414">
      <w:pPr>
        <w:spacing w:after="160" w:line="259" w:lineRule="auto"/>
        <w:jc w:val="center"/>
        <w:rPr>
          <w:rFonts w:cs="Tahoma"/>
          <w:b/>
        </w:rPr>
      </w:pPr>
      <w:r w:rsidRPr="00316414">
        <w:rPr>
          <w:rFonts w:cs="Tahoma"/>
          <w:b/>
        </w:rPr>
        <w:t>V.</w:t>
      </w:r>
    </w:p>
    <w:p w14:paraId="5585D9FA" w14:textId="77777777" w:rsidR="00316414" w:rsidRPr="00316414" w:rsidRDefault="00D24705" w:rsidP="00316414">
      <w:pPr>
        <w:spacing w:after="160" w:line="259" w:lineRule="auto"/>
        <w:jc w:val="both"/>
        <w:rPr>
          <w:rFonts w:cs="Tahoma"/>
          <w:b/>
        </w:rPr>
      </w:pPr>
      <w:r>
        <w:rPr>
          <w:rFonts w:cs="Tahoma"/>
          <w:b/>
        </w:rPr>
        <w:t>O</w:t>
      </w:r>
      <w:r w:rsidR="00316414" w:rsidRPr="00316414">
        <w:rPr>
          <w:rFonts w:cs="Tahoma"/>
          <w:b/>
        </w:rPr>
        <w:t>znamovatel žádá, aby byl v souladu s ustanovením trestního řádu písemně vyrozuměn o učiněných opatřeních.</w:t>
      </w:r>
    </w:p>
    <w:p w14:paraId="0B081EB2" w14:textId="77777777" w:rsidR="009B35D5" w:rsidRPr="001D6CEC" w:rsidRDefault="001D6CEC" w:rsidP="00BE56E4">
      <w:pPr>
        <w:spacing w:after="0"/>
      </w:pPr>
      <w:r w:rsidRPr="001D6CEC">
        <w:tab/>
      </w:r>
      <w:r w:rsidRPr="001D6CEC">
        <w:tab/>
      </w:r>
      <w:r w:rsidRPr="001D6CEC">
        <w:tab/>
      </w:r>
      <w:r w:rsidRPr="001D6CEC">
        <w:tab/>
      </w:r>
      <w:r w:rsidRPr="001D6CEC">
        <w:tab/>
      </w:r>
      <w:r w:rsidRPr="001D6CEC">
        <w:tab/>
      </w:r>
      <w:r>
        <w:tab/>
      </w:r>
      <w:r w:rsidR="009B35D5">
        <w:t xml:space="preserve"> </w:t>
      </w:r>
    </w:p>
    <w:sectPr w:rsidR="009B35D5" w:rsidRPr="001D6CEC" w:rsidSect="004B4919">
      <w:footerReference w:type="default" r:id="rId7"/>
      <w:footerReference w:type="first" r:id="rId8"/>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2EABA" w14:textId="77777777" w:rsidR="00950713" w:rsidRDefault="00950713" w:rsidP="00BA4A70">
      <w:pPr>
        <w:spacing w:after="0" w:line="240" w:lineRule="auto"/>
      </w:pPr>
      <w:r>
        <w:separator/>
      </w:r>
    </w:p>
  </w:endnote>
  <w:endnote w:type="continuationSeparator" w:id="0">
    <w:p w14:paraId="2DFE0DE4" w14:textId="77777777" w:rsidR="00950713" w:rsidRDefault="00950713" w:rsidP="00BA4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6743639"/>
      <w:docPartObj>
        <w:docPartGallery w:val="Page Numbers (Bottom of Page)"/>
        <w:docPartUnique/>
      </w:docPartObj>
    </w:sdtPr>
    <w:sdtContent>
      <w:p w14:paraId="5E9EC7FB" w14:textId="77777777" w:rsidR="00316414" w:rsidRDefault="00853F60">
        <w:pPr>
          <w:pStyle w:val="Zpat"/>
          <w:jc w:val="center"/>
        </w:pPr>
        <w:r>
          <w:fldChar w:fldCharType="begin"/>
        </w:r>
        <w:r w:rsidR="00316414">
          <w:instrText>PAGE   \* MERGEFORMAT</w:instrText>
        </w:r>
        <w:r>
          <w:fldChar w:fldCharType="separate"/>
        </w:r>
        <w:r w:rsidR="00A67A57">
          <w:rPr>
            <w:noProof/>
          </w:rPr>
          <w:t>6</w:t>
        </w:r>
        <w:r>
          <w:fldChar w:fldCharType="end"/>
        </w:r>
      </w:p>
    </w:sdtContent>
  </w:sdt>
  <w:p w14:paraId="0C6AD2A9" w14:textId="77777777" w:rsidR="00BA4A70" w:rsidRDefault="00BA4A7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F254F" w14:textId="77777777" w:rsidR="001D6CEC" w:rsidRPr="001D6CEC" w:rsidRDefault="001D6CEC" w:rsidP="001D6CEC">
    <w:pPr>
      <w:pStyle w:val="Zpat"/>
      <w:rPr>
        <w:u w:val="single" w:color="A6A6A6" w:themeColor="background1" w:themeShade="A6"/>
      </w:rPr>
    </w:pPr>
    <w:r w:rsidRPr="001D6CEC">
      <w:rPr>
        <w:u w:val="single" w:color="A6A6A6" w:themeColor="background1" w:themeShade="A6"/>
      </w:rPr>
      <w:tab/>
    </w:r>
    <w:r w:rsidRPr="001D6CEC">
      <w:rPr>
        <w:u w:val="single" w:color="A6A6A6" w:themeColor="background1" w:themeShade="A6"/>
      </w:rPr>
      <w:tab/>
    </w:r>
  </w:p>
  <w:p w14:paraId="0AF742CF" w14:textId="77777777" w:rsidR="001D6CEC" w:rsidRPr="001D6CEC" w:rsidRDefault="001D6CEC" w:rsidP="001D6CEC">
    <w:pPr>
      <w:tabs>
        <w:tab w:val="center" w:pos="4536"/>
        <w:tab w:val="right" w:pos="9072"/>
      </w:tabs>
      <w:spacing w:after="0" w:line="240" w:lineRule="auto"/>
      <w:jc w:val="center"/>
      <w:rPr>
        <w:rFonts w:ascii="Calibri" w:hAnsi="Calibri"/>
        <w:sz w:val="20"/>
      </w:rPr>
    </w:pPr>
  </w:p>
  <w:p w14:paraId="4ACAC362" w14:textId="77777777" w:rsidR="001D6CEC" w:rsidRPr="001D6CEC" w:rsidRDefault="001D6CEC" w:rsidP="001D6CEC">
    <w:pPr>
      <w:tabs>
        <w:tab w:val="center" w:pos="4536"/>
        <w:tab w:val="right" w:pos="9072"/>
      </w:tabs>
      <w:spacing w:after="0" w:line="240" w:lineRule="auto"/>
    </w:pPr>
  </w:p>
  <w:p w14:paraId="5FB66BAE" w14:textId="77777777" w:rsidR="001D6CEC" w:rsidRDefault="001D6CEC">
    <w:pPr>
      <w:pStyle w:val="Zpat"/>
    </w:pPr>
  </w:p>
  <w:p w14:paraId="744DCD52" w14:textId="77777777" w:rsidR="001D6CEC" w:rsidRDefault="001D6C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96A97" w14:textId="77777777" w:rsidR="00950713" w:rsidRDefault="00950713" w:rsidP="00BA4A70">
      <w:pPr>
        <w:spacing w:after="0" w:line="240" w:lineRule="auto"/>
      </w:pPr>
      <w:r>
        <w:separator/>
      </w:r>
    </w:p>
  </w:footnote>
  <w:footnote w:type="continuationSeparator" w:id="0">
    <w:p w14:paraId="04317C34" w14:textId="77777777" w:rsidR="00950713" w:rsidRDefault="00950713" w:rsidP="00BA4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E3883"/>
    <w:multiLevelType w:val="hybridMultilevel"/>
    <w:tmpl w:val="5086B22E"/>
    <w:lvl w:ilvl="0" w:tplc="25F22BB2">
      <w:start w:val="1"/>
      <w:numFmt w:val="upperRoman"/>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FDE401D"/>
    <w:multiLevelType w:val="hybridMultilevel"/>
    <w:tmpl w:val="A57E693E"/>
    <w:lvl w:ilvl="0" w:tplc="119AA894">
      <w:start w:val="1"/>
      <w:numFmt w:val="decimal"/>
      <w:lvlText w:val="%1."/>
      <w:lvlJc w:val="left"/>
      <w:pPr>
        <w:ind w:left="720" w:hanging="360"/>
      </w:pPr>
      <w:rPr>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A452CE"/>
    <w:multiLevelType w:val="hybridMultilevel"/>
    <w:tmpl w:val="D23E0A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C62568E"/>
    <w:multiLevelType w:val="hybridMultilevel"/>
    <w:tmpl w:val="B66CEA12"/>
    <w:lvl w:ilvl="0" w:tplc="506A4DD0">
      <w:start w:val="2"/>
      <w:numFmt w:val="upp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56F1E81"/>
    <w:multiLevelType w:val="hybridMultilevel"/>
    <w:tmpl w:val="8ACA0B78"/>
    <w:lvl w:ilvl="0" w:tplc="7E4002B2">
      <w:start w:val="1"/>
      <w:numFmt w:val="upp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0C1720C"/>
    <w:multiLevelType w:val="hybridMultilevel"/>
    <w:tmpl w:val="ECA063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979777C"/>
    <w:multiLevelType w:val="hybridMultilevel"/>
    <w:tmpl w:val="278CA7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E6134D1"/>
    <w:multiLevelType w:val="hybridMultilevel"/>
    <w:tmpl w:val="97FC2BC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FF95A9A"/>
    <w:multiLevelType w:val="hybridMultilevel"/>
    <w:tmpl w:val="6CFED6BA"/>
    <w:lvl w:ilvl="0" w:tplc="38BE1BAA">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02926346">
    <w:abstractNumId w:val="6"/>
  </w:num>
  <w:num w:numId="2" w16cid:durableId="858809489">
    <w:abstractNumId w:val="5"/>
  </w:num>
  <w:num w:numId="3" w16cid:durableId="2139562549">
    <w:abstractNumId w:val="0"/>
  </w:num>
  <w:num w:numId="4" w16cid:durableId="1730037156">
    <w:abstractNumId w:val="4"/>
  </w:num>
  <w:num w:numId="5" w16cid:durableId="1156723282">
    <w:abstractNumId w:val="1"/>
  </w:num>
  <w:num w:numId="6" w16cid:durableId="1867209723">
    <w:abstractNumId w:val="7"/>
  </w:num>
  <w:num w:numId="7" w16cid:durableId="1815834126">
    <w:abstractNumId w:val="3"/>
  </w:num>
  <w:num w:numId="8" w16cid:durableId="265357447">
    <w:abstractNumId w:val="8"/>
  </w:num>
  <w:num w:numId="9" w16cid:durableId="1212962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D"/>
    <w:rsid w:val="00032574"/>
    <w:rsid w:val="00045437"/>
    <w:rsid w:val="0008015D"/>
    <w:rsid w:val="000A3402"/>
    <w:rsid w:val="000A775C"/>
    <w:rsid w:val="000C4141"/>
    <w:rsid w:val="000D1A4D"/>
    <w:rsid w:val="000E5E15"/>
    <w:rsid w:val="00103258"/>
    <w:rsid w:val="00105D6C"/>
    <w:rsid w:val="00134EC0"/>
    <w:rsid w:val="0013656E"/>
    <w:rsid w:val="00136830"/>
    <w:rsid w:val="00161209"/>
    <w:rsid w:val="00166FBC"/>
    <w:rsid w:val="00174B3E"/>
    <w:rsid w:val="001D0DD3"/>
    <w:rsid w:val="001D6CEC"/>
    <w:rsid w:val="001E0774"/>
    <w:rsid w:val="001E3BE7"/>
    <w:rsid w:val="001E5562"/>
    <w:rsid w:val="001F0A74"/>
    <w:rsid w:val="00224428"/>
    <w:rsid w:val="0023608F"/>
    <w:rsid w:val="0025345C"/>
    <w:rsid w:val="00256752"/>
    <w:rsid w:val="002703D8"/>
    <w:rsid w:val="0028152E"/>
    <w:rsid w:val="002C2508"/>
    <w:rsid w:val="002E4CFA"/>
    <w:rsid w:val="00302F94"/>
    <w:rsid w:val="00316414"/>
    <w:rsid w:val="003321B7"/>
    <w:rsid w:val="00361408"/>
    <w:rsid w:val="00372EDC"/>
    <w:rsid w:val="003B43B9"/>
    <w:rsid w:val="003B4C8F"/>
    <w:rsid w:val="003D5D77"/>
    <w:rsid w:val="003E3974"/>
    <w:rsid w:val="003F1C88"/>
    <w:rsid w:val="00450954"/>
    <w:rsid w:val="004B4919"/>
    <w:rsid w:val="004D1E7E"/>
    <w:rsid w:val="004D2E9E"/>
    <w:rsid w:val="0051380B"/>
    <w:rsid w:val="00536CCD"/>
    <w:rsid w:val="00542975"/>
    <w:rsid w:val="00551CA6"/>
    <w:rsid w:val="0055675D"/>
    <w:rsid w:val="00573A96"/>
    <w:rsid w:val="005A72AE"/>
    <w:rsid w:val="005B0578"/>
    <w:rsid w:val="005B068D"/>
    <w:rsid w:val="005F17F5"/>
    <w:rsid w:val="005F1D7F"/>
    <w:rsid w:val="005F1DF5"/>
    <w:rsid w:val="00606786"/>
    <w:rsid w:val="00621886"/>
    <w:rsid w:val="0062462C"/>
    <w:rsid w:val="00642068"/>
    <w:rsid w:val="00655CC8"/>
    <w:rsid w:val="00666123"/>
    <w:rsid w:val="0067173C"/>
    <w:rsid w:val="00683B00"/>
    <w:rsid w:val="006A2B67"/>
    <w:rsid w:val="006C676C"/>
    <w:rsid w:val="006D1A53"/>
    <w:rsid w:val="00717E5C"/>
    <w:rsid w:val="00735C61"/>
    <w:rsid w:val="0074595D"/>
    <w:rsid w:val="007512B4"/>
    <w:rsid w:val="00760E3D"/>
    <w:rsid w:val="00762F2F"/>
    <w:rsid w:val="0076575A"/>
    <w:rsid w:val="007C1B2B"/>
    <w:rsid w:val="007D00EA"/>
    <w:rsid w:val="007F4DE1"/>
    <w:rsid w:val="0082547B"/>
    <w:rsid w:val="0085255A"/>
    <w:rsid w:val="00853F60"/>
    <w:rsid w:val="00861CF0"/>
    <w:rsid w:val="00865E20"/>
    <w:rsid w:val="00891E7D"/>
    <w:rsid w:val="008C503E"/>
    <w:rsid w:val="00947A70"/>
    <w:rsid w:val="00950713"/>
    <w:rsid w:val="00956A58"/>
    <w:rsid w:val="00961FB0"/>
    <w:rsid w:val="009839AE"/>
    <w:rsid w:val="00991C46"/>
    <w:rsid w:val="009B35D5"/>
    <w:rsid w:val="009C2712"/>
    <w:rsid w:val="009D4A90"/>
    <w:rsid w:val="009D569B"/>
    <w:rsid w:val="009F5560"/>
    <w:rsid w:val="009F5848"/>
    <w:rsid w:val="009F5B87"/>
    <w:rsid w:val="00A226BC"/>
    <w:rsid w:val="00A31E72"/>
    <w:rsid w:val="00A34B3D"/>
    <w:rsid w:val="00A37305"/>
    <w:rsid w:val="00A67A57"/>
    <w:rsid w:val="00A73B71"/>
    <w:rsid w:val="00A84C46"/>
    <w:rsid w:val="00A85632"/>
    <w:rsid w:val="00A9044C"/>
    <w:rsid w:val="00A97300"/>
    <w:rsid w:val="00AD125B"/>
    <w:rsid w:val="00AD3018"/>
    <w:rsid w:val="00AD7F34"/>
    <w:rsid w:val="00AF1CE0"/>
    <w:rsid w:val="00AF54B0"/>
    <w:rsid w:val="00B02382"/>
    <w:rsid w:val="00B204C4"/>
    <w:rsid w:val="00B22BA5"/>
    <w:rsid w:val="00B315F9"/>
    <w:rsid w:val="00B467CE"/>
    <w:rsid w:val="00B478BC"/>
    <w:rsid w:val="00BA4A70"/>
    <w:rsid w:val="00BD2A47"/>
    <w:rsid w:val="00BD45C0"/>
    <w:rsid w:val="00BE3F61"/>
    <w:rsid w:val="00BE56E4"/>
    <w:rsid w:val="00BE6C6B"/>
    <w:rsid w:val="00BF0CD7"/>
    <w:rsid w:val="00BF2675"/>
    <w:rsid w:val="00C42DBD"/>
    <w:rsid w:val="00C43D3E"/>
    <w:rsid w:val="00C51EA9"/>
    <w:rsid w:val="00C701CB"/>
    <w:rsid w:val="00CA5453"/>
    <w:rsid w:val="00CB0C2D"/>
    <w:rsid w:val="00CD25D1"/>
    <w:rsid w:val="00CD2E85"/>
    <w:rsid w:val="00D234B8"/>
    <w:rsid w:val="00D24705"/>
    <w:rsid w:val="00D24FDA"/>
    <w:rsid w:val="00D3244E"/>
    <w:rsid w:val="00D50B7C"/>
    <w:rsid w:val="00D844B6"/>
    <w:rsid w:val="00D979A5"/>
    <w:rsid w:val="00DA13EB"/>
    <w:rsid w:val="00DA29BE"/>
    <w:rsid w:val="00DB6466"/>
    <w:rsid w:val="00DD57AD"/>
    <w:rsid w:val="00E2731D"/>
    <w:rsid w:val="00E461BF"/>
    <w:rsid w:val="00E84541"/>
    <w:rsid w:val="00E91595"/>
    <w:rsid w:val="00E95506"/>
    <w:rsid w:val="00EA20BC"/>
    <w:rsid w:val="00EA217E"/>
    <w:rsid w:val="00EA24CC"/>
    <w:rsid w:val="00EC01F4"/>
    <w:rsid w:val="00EC44BA"/>
    <w:rsid w:val="00EE4FEC"/>
    <w:rsid w:val="00F14F08"/>
    <w:rsid w:val="00F74B80"/>
    <w:rsid w:val="00F81896"/>
    <w:rsid w:val="00FC539A"/>
    <w:rsid w:val="00FE0F5F"/>
    <w:rsid w:val="00FE38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5D77B"/>
  <w15:docId w15:val="{ED823511-81CE-4E8D-894D-A66BC336F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775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478BC"/>
    <w:pPr>
      <w:ind w:left="720"/>
      <w:contextualSpacing/>
    </w:pPr>
  </w:style>
  <w:style w:type="paragraph" w:styleId="Zhlav">
    <w:name w:val="header"/>
    <w:basedOn w:val="Normln"/>
    <w:link w:val="ZhlavChar"/>
    <w:uiPriority w:val="99"/>
    <w:unhideWhenUsed/>
    <w:rsid w:val="00BA4A7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4A70"/>
  </w:style>
  <w:style w:type="paragraph" w:styleId="Zpat">
    <w:name w:val="footer"/>
    <w:basedOn w:val="Normln"/>
    <w:link w:val="ZpatChar"/>
    <w:uiPriority w:val="99"/>
    <w:unhideWhenUsed/>
    <w:rsid w:val="00BA4A70"/>
    <w:pPr>
      <w:tabs>
        <w:tab w:val="center" w:pos="4536"/>
        <w:tab w:val="right" w:pos="9072"/>
      </w:tabs>
      <w:spacing w:after="0" w:line="240" w:lineRule="auto"/>
    </w:pPr>
  </w:style>
  <w:style w:type="character" w:customStyle="1" w:styleId="ZpatChar">
    <w:name w:val="Zápatí Char"/>
    <w:basedOn w:val="Standardnpsmoodstavce"/>
    <w:link w:val="Zpat"/>
    <w:uiPriority w:val="99"/>
    <w:rsid w:val="00BA4A70"/>
  </w:style>
  <w:style w:type="paragraph" w:styleId="Bezmezer">
    <w:name w:val="No Spacing"/>
    <w:link w:val="BezmezerChar"/>
    <w:uiPriority w:val="1"/>
    <w:qFormat/>
    <w:rsid w:val="004B4919"/>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4B4919"/>
    <w:rPr>
      <w:rFonts w:eastAsiaTheme="minorEastAsia"/>
      <w:lang w:eastAsia="cs-CZ"/>
    </w:rPr>
  </w:style>
  <w:style w:type="paragraph" w:styleId="Textbubliny">
    <w:name w:val="Balloon Text"/>
    <w:basedOn w:val="Normln"/>
    <w:link w:val="TextbublinyChar"/>
    <w:uiPriority w:val="99"/>
    <w:semiHidden/>
    <w:unhideWhenUsed/>
    <w:rsid w:val="004B491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B4919"/>
    <w:rPr>
      <w:rFonts w:ascii="Tahoma" w:hAnsi="Tahoma" w:cs="Tahoma"/>
      <w:sz w:val="16"/>
      <w:szCs w:val="16"/>
    </w:rPr>
  </w:style>
  <w:style w:type="table" w:styleId="Mkatabulky">
    <w:name w:val="Table Grid"/>
    <w:basedOn w:val="Normlntabulka"/>
    <w:uiPriority w:val="59"/>
    <w:rsid w:val="00316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66123"/>
    <w:rPr>
      <w:color w:val="0000FF" w:themeColor="hyperlink"/>
      <w:u w:val="single"/>
    </w:rPr>
  </w:style>
  <w:style w:type="character" w:customStyle="1" w:styleId="Nevyeenzmnka1">
    <w:name w:val="Nevyřešená zmínka1"/>
    <w:basedOn w:val="Standardnpsmoodstavce"/>
    <w:uiPriority w:val="99"/>
    <w:semiHidden/>
    <w:unhideWhenUsed/>
    <w:rsid w:val="00666123"/>
    <w:rPr>
      <w:color w:val="605E5C"/>
      <w:shd w:val="clear" w:color="auto" w:fill="E1DFDD"/>
    </w:rPr>
  </w:style>
  <w:style w:type="paragraph" w:styleId="Revize">
    <w:name w:val="Revision"/>
    <w:hidden/>
    <w:uiPriority w:val="99"/>
    <w:semiHidden/>
    <w:rsid w:val="005F1D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2413</Words>
  <Characters>14241</Characters>
  <Application>Microsoft Office Word</Application>
  <DocSecurity>0</DocSecurity>
  <Lines>118</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Tomáš Novák</cp:lastModifiedBy>
  <cp:revision>4</cp:revision>
  <cp:lastPrinted>2022-08-02T08:32:00Z</cp:lastPrinted>
  <dcterms:created xsi:type="dcterms:W3CDTF">2022-08-05T00:23:00Z</dcterms:created>
  <dcterms:modified xsi:type="dcterms:W3CDTF">2022-08-23T22:34:00Z</dcterms:modified>
</cp:coreProperties>
</file>